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E367B" w14:textId="0B5D5D69" w:rsidR="007D4774" w:rsidRPr="00112430" w:rsidRDefault="00723E3E" w:rsidP="00076827">
      <w:pPr>
        <w:spacing w:before="120" w:after="120"/>
        <w:jc w:val="center"/>
        <w:rPr>
          <w:rFonts w:ascii="Arial" w:eastAsia="Arial" w:hAnsi="Arial" w:cs="Arial"/>
          <w:sz w:val="44"/>
          <w:szCs w:val="44"/>
        </w:rPr>
      </w:pPr>
      <w:r w:rsidRPr="00723E3E">
        <w:rPr>
          <w:noProof/>
        </w:rPr>
        <w:drawing>
          <wp:inline distT="0" distB="0" distL="0" distR="0" wp14:anchorId="381E270F" wp14:editId="31743A7B">
            <wp:extent cx="7643238" cy="628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44675" cy="628768"/>
                    </a:xfrm>
                    <a:prstGeom prst="rect">
                      <a:avLst/>
                    </a:prstGeom>
                    <a:noFill/>
                    <a:ln>
                      <a:noFill/>
                    </a:ln>
                  </pic:spPr>
                </pic:pic>
              </a:graphicData>
            </a:graphic>
          </wp:inline>
        </w:drawing>
      </w:r>
    </w:p>
    <w:p w14:paraId="761D01CB" w14:textId="77777777" w:rsidR="007D4774" w:rsidRDefault="007D4774" w:rsidP="00076827">
      <w:pPr>
        <w:spacing w:before="120" w:after="120"/>
        <w:rPr>
          <w:rFonts w:ascii="Arial Narrow" w:eastAsia="Arial Narrow" w:hAnsi="Arial Narrow" w:cs="Arial Narrow"/>
        </w:rPr>
      </w:pPr>
    </w:p>
    <w:p w14:paraId="51DAC547" w14:textId="77777777" w:rsidR="007D4774" w:rsidRDefault="007D4774" w:rsidP="00076827">
      <w:pPr>
        <w:spacing w:before="120" w:after="120"/>
        <w:rPr>
          <w:rFonts w:ascii="Arial Narrow" w:eastAsia="Arial Narrow" w:hAnsi="Arial Narrow" w:cs="Arial Narrow"/>
        </w:rPr>
      </w:pPr>
    </w:p>
    <w:p w14:paraId="50CF0A6F" w14:textId="77777777" w:rsidR="00192C3B" w:rsidRDefault="00192C3B" w:rsidP="00076827">
      <w:pPr>
        <w:keepNext/>
        <w:pBdr>
          <w:top w:val="single" w:sz="4" w:space="1" w:color="auto"/>
          <w:left w:val="single" w:sz="4" w:space="1" w:color="auto"/>
          <w:bottom w:val="single" w:sz="4" w:space="1" w:color="auto"/>
          <w:right w:val="single" w:sz="4" w:space="1" w:color="auto"/>
          <w:between w:val="nil"/>
        </w:pBdr>
        <w:shd w:val="clear" w:color="auto" w:fill="002060"/>
        <w:spacing w:before="120" w:after="120"/>
        <w:jc w:val="center"/>
        <w:rPr>
          <w:rFonts w:ascii="Arial Narrow" w:eastAsia="Arial Narrow" w:hAnsi="Arial Narrow" w:cs="Arial Narrow"/>
          <w:b/>
          <w:color w:val="000000"/>
          <w:sz w:val="28"/>
          <w:szCs w:val="28"/>
          <w:highlight w:val="yellow"/>
        </w:rPr>
      </w:pPr>
    </w:p>
    <w:p w14:paraId="4A53524B" w14:textId="76BCA789" w:rsidR="00192C3B" w:rsidRPr="00B71600" w:rsidRDefault="00B71600" w:rsidP="00076827">
      <w:pPr>
        <w:keepNext/>
        <w:pBdr>
          <w:top w:val="single" w:sz="4" w:space="1" w:color="auto"/>
          <w:left w:val="single" w:sz="4" w:space="1" w:color="auto"/>
          <w:bottom w:val="single" w:sz="4" w:space="1" w:color="auto"/>
          <w:right w:val="single" w:sz="4" w:space="1" w:color="auto"/>
          <w:between w:val="nil"/>
        </w:pBdr>
        <w:shd w:val="clear" w:color="auto" w:fill="002060"/>
        <w:spacing w:before="120" w:after="120"/>
        <w:jc w:val="center"/>
        <w:rPr>
          <w:rFonts w:ascii="Arial Narrow" w:eastAsia="Arial Narrow" w:hAnsi="Arial Narrow" w:cs="Arial Narrow"/>
          <w:b/>
          <w:color w:val="FFFFFF" w:themeColor="background1"/>
          <w:sz w:val="30"/>
          <w:szCs w:val="30"/>
        </w:rPr>
      </w:pPr>
      <w:r w:rsidRPr="00B71600">
        <w:rPr>
          <w:rFonts w:ascii="Arial" w:hAnsi="Arial" w:cs="Arial"/>
          <w:color w:val="FFFFFF" w:themeColor="background1"/>
          <w:sz w:val="30"/>
          <w:szCs w:val="30"/>
        </w:rPr>
        <w:t xml:space="preserve">Prestations de stratégie d’image de marque et de gestion de la réputation de l’Institut Polytechnique de Paris (IP Paris)  </w:t>
      </w:r>
    </w:p>
    <w:p w14:paraId="7988D638" w14:textId="77777777" w:rsidR="00192C3B" w:rsidRPr="00744356" w:rsidRDefault="00192C3B" w:rsidP="00076827">
      <w:pPr>
        <w:keepNext/>
        <w:pBdr>
          <w:top w:val="single" w:sz="4" w:space="1" w:color="auto"/>
          <w:left w:val="single" w:sz="4" w:space="1" w:color="auto"/>
          <w:bottom w:val="single" w:sz="4" w:space="1" w:color="auto"/>
          <w:right w:val="single" w:sz="4" w:space="1" w:color="auto"/>
          <w:between w:val="nil"/>
        </w:pBdr>
        <w:shd w:val="clear" w:color="auto" w:fill="002060"/>
        <w:spacing w:before="120" w:after="120"/>
        <w:jc w:val="center"/>
        <w:rPr>
          <w:rFonts w:ascii="Arial Narrow" w:eastAsia="Arial Narrow" w:hAnsi="Arial Narrow" w:cs="Arial Narrow"/>
          <w:b/>
          <w:color w:val="FFFFFF" w:themeColor="background1"/>
          <w:sz w:val="28"/>
          <w:szCs w:val="28"/>
        </w:rPr>
      </w:pPr>
    </w:p>
    <w:p w14:paraId="118F0D6B" w14:textId="27209F36" w:rsidR="007D4774" w:rsidRPr="00744356" w:rsidRDefault="00823AD6" w:rsidP="00076827">
      <w:pPr>
        <w:keepNext/>
        <w:pBdr>
          <w:top w:val="single" w:sz="4" w:space="1" w:color="auto"/>
          <w:left w:val="single" w:sz="4" w:space="1" w:color="auto"/>
          <w:bottom w:val="single" w:sz="4" w:space="1" w:color="auto"/>
          <w:right w:val="single" w:sz="4" w:space="1" w:color="auto"/>
          <w:between w:val="nil"/>
        </w:pBdr>
        <w:shd w:val="clear" w:color="auto" w:fill="002060"/>
        <w:spacing w:before="120" w:after="120"/>
        <w:jc w:val="center"/>
        <w:rPr>
          <w:rFonts w:ascii="Arial Narrow" w:eastAsia="Arial Narrow" w:hAnsi="Arial Narrow" w:cs="Arial Narrow"/>
          <w:b/>
          <w:color w:val="FFFFFF" w:themeColor="background1"/>
          <w:sz w:val="36"/>
          <w:szCs w:val="28"/>
        </w:rPr>
      </w:pPr>
      <w:r w:rsidRPr="00744356">
        <w:rPr>
          <w:rFonts w:ascii="Arial Narrow" w:eastAsia="Arial Narrow" w:hAnsi="Arial Narrow" w:cs="Arial Narrow"/>
          <w:b/>
          <w:color w:val="FFFFFF" w:themeColor="background1"/>
          <w:sz w:val="36"/>
          <w:szCs w:val="28"/>
        </w:rPr>
        <w:t>CADRE DE RÉPONSE</w:t>
      </w:r>
      <w:r w:rsidR="003F315E">
        <w:rPr>
          <w:rFonts w:ascii="Arial Narrow" w:eastAsia="Arial Narrow" w:hAnsi="Arial Narrow" w:cs="Arial Narrow"/>
          <w:b/>
          <w:color w:val="FFFFFF" w:themeColor="background1"/>
          <w:sz w:val="36"/>
          <w:szCs w:val="28"/>
        </w:rPr>
        <w:t xml:space="preserve"> </w:t>
      </w:r>
    </w:p>
    <w:p w14:paraId="5690590B" w14:textId="77777777" w:rsidR="00192C3B" w:rsidRDefault="00192C3B" w:rsidP="00076827">
      <w:pPr>
        <w:keepNext/>
        <w:pBdr>
          <w:top w:val="single" w:sz="4" w:space="1" w:color="auto"/>
          <w:left w:val="single" w:sz="4" w:space="1" w:color="auto"/>
          <w:bottom w:val="single" w:sz="4" w:space="1" w:color="auto"/>
          <w:right w:val="single" w:sz="4" w:space="1" w:color="auto"/>
          <w:between w:val="nil"/>
        </w:pBdr>
        <w:shd w:val="clear" w:color="auto" w:fill="002060"/>
        <w:spacing w:before="120" w:after="120"/>
        <w:rPr>
          <w:rFonts w:ascii="Arial Narrow" w:eastAsia="Arial Narrow" w:hAnsi="Arial Narrow" w:cs="Arial Narrow"/>
          <w:b/>
          <w:color w:val="000000"/>
          <w:sz w:val="28"/>
          <w:szCs w:val="28"/>
        </w:rPr>
      </w:pPr>
    </w:p>
    <w:p w14:paraId="7AB4E923" w14:textId="77777777" w:rsidR="00192C3B" w:rsidRPr="00192C3B" w:rsidRDefault="00192C3B" w:rsidP="00076827">
      <w:pPr>
        <w:keepNext/>
        <w:pBdr>
          <w:top w:val="single" w:sz="4" w:space="1" w:color="auto"/>
          <w:left w:val="single" w:sz="4" w:space="1" w:color="auto"/>
          <w:bottom w:val="single" w:sz="4" w:space="1" w:color="auto"/>
          <w:right w:val="single" w:sz="4" w:space="1" w:color="auto"/>
          <w:between w:val="nil"/>
        </w:pBdr>
        <w:shd w:val="clear" w:color="auto" w:fill="002060"/>
        <w:spacing w:before="120" w:after="120"/>
        <w:jc w:val="center"/>
        <w:rPr>
          <w:rFonts w:ascii="Arial Narrow" w:eastAsia="Arial Narrow" w:hAnsi="Arial Narrow" w:cs="Arial Narrow"/>
          <w:b/>
          <w:color w:val="000000"/>
          <w:sz w:val="28"/>
          <w:szCs w:val="28"/>
        </w:rPr>
      </w:pPr>
    </w:p>
    <w:p w14:paraId="0960E45F" w14:textId="77777777" w:rsidR="007D4774" w:rsidRPr="007713B0" w:rsidRDefault="007D4774" w:rsidP="00076827">
      <w:pPr>
        <w:spacing w:before="120" w:after="120"/>
        <w:rPr>
          <w:rFonts w:ascii="Arial" w:eastAsia="Arial Narrow" w:hAnsi="Arial" w:cs="Arial"/>
          <w:sz w:val="20"/>
          <w:szCs w:val="20"/>
        </w:rPr>
      </w:pPr>
    </w:p>
    <w:p w14:paraId="121BA05E" w14:textId="3764414F" w:rsidR="00BB61BC" w:rsidRPr="00C34611" w:rsidRDefault="00BB61BC" w:rsidP="00076827">
      <w:pPr>
        <w:spacing w:before="120" w:after="120"/>
        <w:jc w:val="both"/>
        <w:rPr>
          <w:rFonts w:ascii="Arial" w:eastAsia="Arial Narrow" w:hAnsi="Arial" w:cs="Arial"/>
          <w:b/>
        </w:rPr>
      </w:pPr>
      <w:r w:rsidRPr="00C34611">
        <w:rPr>
          <w:rFonts w:ascii="Arial" w:eastAsia="Arial Narrow" w:hAnsi="Arial" w:cs="Arial"/>
        </w:rPr>
        <w:t>L’utilisation de ce cadre de réponse est</w:t>
      </w:r>
      <w:r w:rsidRPr="00C34611">
        <w:rPr>
          <w:rFonts w:ascii="Arial" w:eastAsia="Arial Narrow" w:hAnsi="Arial" w:cs="Arial"/>
          <w:b/>
        </w:rPr>
        <w:t xml:space="preserve"> obligatoire</w:t>
      </w:r>
      <w:r w:rsidR="00C77686" w:rsidRPr="00C34611">
        <w:rPr>
          <w:rFonts w:ascii="Arial" w:eastAsia="Arial Narrow" w:hAnsi="Arial" w:cs="Arial"/>
          <w:b/>
        </w:rPr>
        <w:t xml:space="preserve"> </w:t>
      </w:r>
      <w:r w:rsidR="00C77686" w:rsidRPr="00C34611">
        <w:rPr>
          <w:rFonts w:ascii="Arial" w:eastAsia="Arial Narrow" w:hAnsi="Arial" w:cs="Arial"/>
          <w:bCs/>
        </w:rPr>
        <w:t>pour le critère 1 « valeur technique ».</w:t>
      </w:r>
    </w:p>
    <w:p w14:paraId="3E57DEF2" w14:textId="392F0889" w:rsidR="00BB61BC" w:rsidRPr="00C34611" w:rsidRDefault="00BB61BC" w:rsidP="00076827">
      <w:pPr>
        <w:spacing w:before="120" w:after="120"/>
        <w:jc w:val="both"/>
        <w:rPr>
          <w:rFonts w:ascii="Arial" w:eastAsia="Arial Narrow" w:hAnsi="Arial" w:cs="Arial"/>
        </w:rPr>
      </w:pPr>
      <w:r w:rsidRPr="00C34611">
        <w:rPr>
          <w:rFonts w:ascii="Arial" w:eastAsia="Arial Narrow" w:hAnsi="Arial" w:cs="Arial"/>
        </w:rPr>
        <w:t>Il est destiné d’une part à fiabiliser les réponses des candidats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37867391" w14:textId="4E5FD810" w:rsidR="00BB61BC" w:rsidRPr="00C34611" w:rsidRDefault="00BB61BC" w:rsidP="00076827">
      <w:pPr>
        <w:spacing w:before="120" w:after="120"/>
        <w:jc w:val="both"/>
        <w:rPr>
          <w:rFonts w:ascii="Arial" w:eastAsia="Arial Narrow" w:hAnsi="Arial" w:cs="Arial"/>
        </w:rPr>
      </w:pPr>
      <w:r w:rsidRPr="00C34611">
        <w:rPr>
          <w:rFonts w:ascii="Arial" w:eastAsia="Arial Narrow" w:hAnsi="Arial" w:cs="Arial"/>
        </w:rPr>
        <w:t>Il servira de base à l’analyse des offres, chaque élément étant en relation avec un critère d’appréciation de l’offre.</w:t>
      </w:r>
    </w:p>
    <w:p w14:paraId="3E90461D" w14:textId="13BF637D" w:rsidR="00BB61BC" w:rsidRPr="00C34611" w:rsidRDefault="00BB61BC" w:rsidP="00076827">
      <w:pPr>
        <w:spacing w:before="120" w:after="120"/>
        <w:jc w:val="both"/>
        <w:rPr>
          <w:rFonts w:ascii="Arial" w:eastAsia="Arial Narrow" w:hAnsi="Arial" w:cs="Arial"/>
          <w:b/>
        </w:rPr>
      </w:pPr>
      <w:r w:rsidRPr="00C34611">
        <w:rPr>
          <w:rFonts w:ascii="Arial" w:eastAsia="Arial Narrow" w:hAnsi="Arial" w:cs="Arial"/>
          <w:b/>
        </w:rPr>
        <w:t>Le cadre de réponse peut être étendu ou bien renvoyé à des annexes clairement identifiées (référence à la pagination exacte).</w:t>
      </w:r>
    </w:p>
    <w:p w14:paraId="56CCEE0D" w14:textId="77777777" w:rsidR="00BB61BC" w:rsidRPr="00C34611" w:rsidRDefault="00BB61BC" w:rsidP="00076827">
      <w:pPr>
        <w:spacing w:before="120" w:after="120"/>
        <w:jc w:val="both"/>
        <w:rPr>
          <w:rFonts w:ascii="Arial" w:eastAsia="Arial Narrow" w:hAnsi="Arial" w:cs="Arial"/>
        </w:rPr>
      </w:pPr>
      <w:r w:rsidRPr="00C34611">
        <w:rPr>
          <w:rFonts w:ascii="Arial" w:eastAsia="Arial Narrow" w:hAnsi="Arial" w:cs="Arial"/>
        </w:rPr>
        <w:t xml:space="preserve">Toute absence de réponse ou preuve non fournie sera considérée comme une réponse négative. </w:t>
      </w:r>
    </w:p>
    <w:p w14:paraId="5EC9D5C0" w14:textId="77777777" w:rsidR="00DF24FF" w:rsidRPr="00C34611" w:rsidRDefault="00DF24FF" w:rsidP="00076827">
      <w:pPr>
        <w:spacing w:before="120" w:after="120"/>
        <w:rPr>
          <w:rFonts w:ascii="Arial" w:eastAsia="Arial Narrow" w:hAnsi="Arial" w:cs="Arial"/>
        </w:rPr>
      </w:pPr>
    </w:p>
    <w:p w14:paraId="279F680B" w14:textId="77777777" w:rsidR="007D4774" w:rsidRPr="00C34611" w:rsidRDefault="00823AD6" w:rsidP="008F0672">
      <w:pPr>
        <w:keepNext/>
        <w:pBdr>
          <w:top w:val="nil"/>
          <w:left w:val="nil"/>
          <w:bottom w:val="nil"/>
          <w:right w:val="nil"/>
          <w:between w:val="nil"/>
        </w:pBdr>
        <w:spacing w:before="120" w:after="120"/>
        <w:rPr>
          <w:rFonts w:ascii="Arial" w:hAnsi="Arial" w:cs="Arial"/>
          <w:color w:val="000000"/>
        </w:rPr>
      </w:pPr>
      <w:r w:rsidRPr="00C34611">
        <w:rPr>
          <w:rFonts w:ascii="Arial" w:eastAsia="Arial Narrow" w:hAnsi="Arial" w:cs="Arial"/>
          <w:b/>
          <w:color w:val="000000"/>
        </w:rPr>
        <w:t>CANDIDAT</w:t>
      </w:r>
      <w:r w:rsidR="00192C3B" w:rsidRPr="00C34611">
        <w:rPr>
          <w:rFonts w:ascii="Arial" w:eastAsia="Arial Narrow" w:hAnsi="Arial" w:cs="Arial"/>
          <w:b/>
          <w:color w:val="000000"/>
        </w:rPr>
        <w:t> :</w:t>
      </w:r>
    </w:p>
    <w:tbl>
      <w:tblPr>
        <w:tblStyle w:val="a"/>
        <w:tblW w:w="907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8"/>
        <w:gridCol w:w="6095"/>
      </w:tblGrid>
      <w:tr w:rsidR="007D4774" w:rsidRPr="00C34611" w14:paraId="77120EB6" w14:textId="77777777" w:rsidTr="00723E3E">
        <w:trPr>
          <w:jc w:val="center"/>
        </w:trPr>
        <w:tc>
          <w:tcPr>
            <w:tcW w:w="2978"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tcPr>
          <w:p w14:paraId="29673F38" w14:textId="77777777" w:rsidR="007D4774" w:rsidRPr="00C34611" w:rsidRDefault="00823AD6" w:rsidP="00076827">
            <w:pPr>
              <w:spacing w:before="120" w:after="120"/>
              <w:rPr>
                <w:rFonts w:ascii="Arial" w:eastAsia="Arial Narrow" w:hAnsi="Arial" w:cs="Arial"/>
                <w:b/>
              </w:rPr>
            </w:pPr>
            <w:r w:rsidRPr="00C34611">
              <w:rPr>
                <w:rFonts w:ascii="Arial" w:eastAsia="Arial Narrow" w:hAnsi="Arial" w:cs="Arial"/>
                <w:b/>
              </w:rPr>
              <w:t>Nom de l’entreprise</w:t>
            </w:r>
          </w:p>
        </w:tc>
        <w:tc>
          <w:tcPr>
            <w:tcW w:w="6095" w:type="dxa"/>
            <w:tcBorders>
              <w:top w:val="single" w:sz="4" w:space="0" w:color="000000"/>
              <w:left w:val="single" w:sz="4" w:space="0" w:color="000000"/>
              <w:bottom w:val="single" w:sz="4" w:space="0" w:color="000000"/>
              <w:right w:val="single" w:sz="4" w:space="0" w:color="000000"/>
            </w:tcBorders>
          </w:tcPr>
          <w:p w14:paraId="78F11D49" w14:textId="77777777" w:rsidR="007D4774" w:rsidRPr="00C34611" w:rsidRDefault="007D4774" w:rsidP="00076827">
            <w:pPr>
              <w:spacing w:before="120" w:after="120"/>
              <w:rPr>
                <w:rFonts w:ascii="Arial" w:eastAsia="Arial Narrow" w:hAnsi="Arial" w:cs="Arial"/>
              </w:rPr>
            </w:pPr>
          </w:p>
          <w:p w14:paraId="54FD6078" w14:textId="77777777" w:rsidR="007D4774" w:rsidRPr="00C34611" w:rsidRDefault="007D4774" w:rsidP="00076827">
            <w:pPr>
              <w:spacing w:before="120" w:after="120"/>
              <w:rPr>
                <w:rFonts w:ascii="Arial" w:eastAsia="Arial Narrow" w:hAnsi="Arial" w:cs="Arial"/>
              </w:rPr>
            </w:pPr>
          </w:p>
          <w:p w14:paraId="176ACB9D" w14:textId="77777777" w:rsidR="007D4774" w:rsidRPr="00C34611" w:rsidRDefault="007D4774" w:rsidP="00076827">
            <w:pPr>
              <w:spacing w:before="120" w:after="120"/>
              <w:rPr>
                <w:rFonts w:ascii="Arial" w:eastAsia="Arial Narrow" w:hAnsi="Arial" w:cs="Arial"/>
              </w:rPr>
            </w:pPr>
          </w:p>
        </w:tc>
      </w:tr>
      <w:tr w:rsidR="007D4774" w:rsidRPr="00C34611" w14:paraId="24CDFC6A" w14:textId="77777777" w:rsidTr="00723E3E">
        <w:trPr>
          <w:trHeight w:val="780"/>
          <w:jc w:val="center"/>
        </w:trPr>
        <w:tc>
          <w:tcPr>
            <w:tcW w:w="2978"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tcPr>
          <w:p w14:paraId="0ACB63AB" w14:textId="77777777" w:rsidR="007D4774" w:rsidRPr="00C34611" w:rsidRDefault="00823AD6" w:rsidP="00076827">
            <w:pPr>
              <w:spacing w:before="120" w:after="120"/>
              <w:rPr>
                <w:rFonts w:ascii="Arial" w:eastAsia="Arial Narrow" w:hAnsi="Arial" w:cs="Arial"/>
                <w:b/>
              </w:rPr>
            </w:pPr>
            <w:r w:rsidRPr="00C34611">
              <w:rPr>
                <w:rFonts w:ascii="Arial" w:eastAsia="Arial Narrow" w:hAnsi="Arial" w:cs="Arial"/>
                <w:b/>
              </w:rPr>
              <w:t xml:space="preserve">Contact </w:t>
            </w:r>
          </w:p>
        </w:tc>
        <w:tc>
          <w:tcPr>
            <w:tcW w:w="6095" w:type="dxa"/>
            <w:tcBorders>
              <w:top w:val="single" w:sz="4" w:space="0" w:color="000000"/>
              <w:left w:val="single" w:sz="4" w:space="0" w:color="000000"/>
              <w:bottom w:val="single" w:sz="4" w:space="0" w:color="000000"/>
              <w:right w:val="single" w:sz="4" w:space="0" w:color="000000"/>
            </w:tcBorders>
          </w:tcPr>
          <w:p w14:paraId="37BB3ADD" w14:textId="77777777" w:rsidR="007D4774" w:rsidRPr="00C34611" w:rsidRDefault="007D4774" w:rsidP="00076827">
            <w:pPr>
              <w:spacing w:before="120" w:after="120"/>
              <w:rPr>
                <w:rFonts w:ascii="Arial" w:eastAsia="Arial Narrow" w:hAnsi="Arial" w:cs="Arial"/>
              </w:rPr>
            </w:pPr>
          </w:p>
        </w:tc>
      </w:tr>
      <w:tr w:rsidR="007D4774" w:rsidRPr="00C34611" w14:paraId="02EF191F" w14:textId="77777777" w:rsidTr="00723E3E">
        <w:trPr>
          <w:trHeight w:val="700"/>
          <w:jc w:val="center"/>
        </w:trPr>
        <w:tc>
          <w:tcPr>
            <w:tcW w:w="2978"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tcPr>
          <w:p w14:paraId="0D5936F8" w14:textId="77777777" w:rsidR="007D4774" w:rsidRPr="00C34611" w:rsidRDefault="00823AD6" w:rsidP="00076827">
            <w:pPr>
              <w:spacing w:before="120" w:after="120"/>
              <w:rPr>
                <w:rFonts w:ascii="Arial" w:eastAsia="Arial Narrow" w:hAnsi="Arial" w:cs="Arial"/>
                <w:b/>
              </w:rPr>
            </w:pPr>
            <w:r w:rsidRPr="00C34611">
              <w:rPr>
                <w:rFonts w:ascii="Arial" w:eastAsia="Arial Narrow" w:hAnsi="Arial" w:cs="Arial"/>
                <w:b/>
              </w:rPr>
              <w:t>Coordonnées (tél, mail)</w:t>
            </w:r>
          </w:p>
        </w:tc>
        <w:tc>
          <w:tcPr>
            <w:tcW w:w="6095" w:type="dxa"/>
            <w:tcBorders>
              <w:top w:val="single" w:sz="4" w:space="0" w:color="000000"/>
              <w:left w:val="single" w:sz="4" w:space="0" w:color="000000"/>
              <w:bottom w:val="single" w:sz="4" w:space="0" w:color="000000"/>
              <w:right w:val="single" w:sz="4" w:space="0" w:color="000000"/>
            </w:tcBorders>
          </w:tcPr>
          <w:p w14:paraId="329E6E02" w14:textId="77777777" w:rsidR="007D4774" w:rsidRPr="00C34611" w:rsidRDefault="007D4774" w:rsidP="00076827">
            <w:pPr>
              <w:spacing w:before="120" w:after="120"/>
              <w:rPr>
                <w:rFonts w:ascii="Arial" w:eastAsia="Arial Narrow" w:hAnsi="Arial" w:cs="Arial"/>
              </w:rPr>
            </w:pPr>
          </w:p>
        </w:tc>
      </w:tr>
    </w:tbl>
    <w:p w14:paraId="29A37E4C" w14:textId="77777777" w:rsidR="007D4774" w:rsidRPr="00C34611" w:rsidRDefault="007D4774" w:rsidP="00076827">
      <w:pPr>
        <w:spacing w:before="120" w:after="120"/>
        <w:rPr>
          <w:rFonts w:ascii="Arial" w:eastAsia="Arial Narrow" w:hAnsi="Arial" w:cs="Arial"/>
        </w:rPr>
      </w:pPr>
    </w:p>
    <w:p w14:paraId="54E003AF" w14:textId="6140B4FC" w:rsidR="00723E3E" w:rsidRPr="00C34611" w:rsidRDefault="00723E3E" w:rsidP="00076827">
      <w:pPr>
        <w:widowControl w:val="0"/>
        <w:pBdr>
          <w:top w:val="nil"/>
          <w:left w:val="nil"/>
          <w:bottom w:val="nil"/>
          <w:right w:val="nil"/>
          <w:between w:val="nil"/>
        </w:pBdr>
        <w:spacing w:before="120" w:after="120" w:line="276" w:lineRule="auto"/>
        <w:rPr>
          <w:rFonts w:ascii="Arial" w:eastAsia="Arial Narrow" w:hAnsi="Arial" w:cs="Arial"/>
        </w:rPr>
        <w:sectPr w:rsidR="00723E3E" w:rsidRPr="00C34611">
          <w:footerReference w:type="default" r:id="rId9"/>
          <w:pgSz w:w="11906" w:h="16838"/>
          <w:pgMar w:top="992" w:right="1418" w:bottom="709" w:left="1418" w:header="720" w:footer="448" w:gutter="0"/>
          <w:pgNumType w:start="1"/>
          <w:cols w:space="720"/>
          <w:titlePg/>
        </w:sectPr>
      </w:pPr>
    </w:p>
    <w:p w14:paraId="615BBE95" w14:textId="77777777" w:rsidR="00C77686" w:rsidRPr="00C34611" w:rsidRDefault="00C77686">
      <w:pPr>
        <w:rPr>
          <w:rFonts w:ascii="Arial" w:eastAsia="Arial Narrow" w:hAnsi="Arial" w:cs="Arial"/>
          <w:b/>
        </w:rPr>
      </w:pPr>
      <w:bookmarkStart w:id="0" w:name="_Hlk172808349"/>
      <w:r w:rsidRPr="00C34611">
        <w:rPr>
          <w:rFonts w:ascii="Arial" w:eastAsia="Arial Narrow" w:hAnsi="Arial" w:cs="Arial"/>
          <w:b/>
        </w:rPr>
        <w:br w:type="page"/>
      </w:r>
    </w:p>
    <w:p w14:paraId="32BDCAC7" w14:textId="7B96C04A" w:rsidR="00152035" w:rsidRPr="00C34611" w:rsidRDefault="00823AD6" w:rsidP="00076827">
      <w:pPr>
        <w:pStyle w:val="Paragraphedeliste"/>
        <w:numPr>
          <w:ilvl w:val="0"/>
          <w:numId w:val="13"/>
        </w:numPr>
        <w:spacing w:before="120" w:after="120"/>
        <w:contextualSpacing w:val="0"/>
        <w:rPr>
          <w:rFonts w:ascii="Arial" w:eastAsia="Arial Narrow" w:hAnsi="Arial" w:cs="Arial"/>
          <w:b/>
        </w:rPr>
      </w:pPr>
      <w:r w:rsidRPr="00C34611">
        <w:rPr>
          <w:rFonts w:ascii="Arial" w:eastAsia="Arial Narrow" w:hAnsi="Arial" w:cs="Arial"/>
          <w:b/>
        </w:rPr>
        <w:lastRenderedPageBreak/>
        <w:t xml:space="preserve">Critère </w:t>
      </w:r>
      <w:r w:rsidR="00152035" w:rsidRPr="00C34611">
        <w:rPr>
          <w:rFonts w:ascii="Arial" w:eastAsia="Arial Narrow" w:hAnsi="Arial" w:cs="Arial"/>
          <w:b/>
        </w:rPr>
        <w:t>1</w:t>
      </w:r>
      <w:r w:rsidRPr="00C34611">
        <w:rPr>
          <w:rFonts w:ascii="Arial" w:eastAsia="Arial Narrow" w:hAnsi="Arial" w:cs="Arial"/>
          <w:b/>
        </w:rPr>
        <w:t xml:space="preserve"> –</w:t>
      </w:r>
      <w:r w:rsidR="00152035" w:rsidRPr="00C34611">
        <w:rPr>
          <w:rFonts w:ascii="Arial" w:eastAsia="Arial Narrow" w:hAnsi="Arial" w:cs="Arial"/>
          <w:b/>
        </w:rPr>
        <w:t xml:space="preserve"> </w:t>
      </w:r>
      <w:r w:rsidR="00B71600" w:rsidRPr="00C34611">
        <w:rPr>
          <w:rFonts w:ascii="Arial" w:eastAsia="Lucida Sans Unicode" w:hAnsi="Arial" w:cs="Arial"/>
          <w:b/>
        </w:rPr>
        <w:t>Valeur technique (60 %)</w:t>
      </w:r>
    </w:p>
    <w:bookmarkEnd w:id="0"/>
    <w:p w14:paraId="689B99A4" w14:textId="2EF5D01C" w:rsidR="00C77686" w:rsidRPr="00C34611" w:rsidRDefault="00B71600" w:rsidP="00076827">
      <w:pPr>
        <w:spacing w:before="120" w:after="120"/>
        <w:jc w:val="both"/>
        <w:rPr>
          <w:rFonts w:ascii="Arial" w:eastAsia="Arial Narrow" w:hAnsi="Arial" w:cs="Arial"/>
          <w:bCs/>
        </w:rPr>
      </w:pPr>
      <w:r w:rsidRPr="00C34611">
        <w:rPr>
          <w:rFonts w:ascii="Arial" w:eastAsia="Arial Narrow" w:hAnsi="Arial" w:cs="Arial"/>
          <w:b/>
          <w:u w:val="single"/>
        </w:rPr>
        <w:t>Sous-critère 1.1</w:t>
      </w:r>
      <w:r w:rsidRPr="00C34611">
        <w:rPr>
          <w:rFonts w:ascii="Arial" w:eastAsia="Arial Narrow" w:hAnsi="Arial" w:cs="Arial"/>
          <w:b/>
        </w:rPr>
        <w:t> </w:t>
      </w:r>
      <w:r w:rsidR="00C77686" w:rsidRPr="00C34611">
        <w:rPr>
          <w:rFonts w:ascii="Arial" w:eastAsia="Arial Narrow" w:hAnsi="Arial" w:cs="Arial"/>
          <w:b/>
        </w:rPr>
        <w:t xml:space="preserve">(50%) </w:t>
      </w:r>
      <w:r w:rsidRPr="00C34611">
        <w:rPr>
          <w:rFonts w:ascii="Arial" w:eastAsia="Arial Narrow" w:hAnsi="Arial" w:cs="Arial"/>
          <w:b/>
        </w:rPr>
        <w:t>:</w:t>
      </w:r>
      <w:r w:rsidRPr="00C34611">
        <w:rPr>
          <w:rFonts w:ascii="Arial" w:hAnsi="Arial" w:cs="Arial"/>
          <w:b/>
        </w:rPr>
        <w:t xml:space="preserve"> </w:t>
      </w:r>
      <w:bookmarkStart w:id="1" w:name="_Hlk194069232"/>
      <w:r w:rsidR="00940BFC" w:rsidRPr="00C34611">
        <w:rPr>
          <w:rFonts w:ascii="Arial" w:eastAsia="Lucida Sans Unicode" w:hAnsi="Arial" w:cs="Arial"/>
          <w:b/>
        </w:rPr>
        <w:t>M</w:t>
      </w:r>
      <w:r w:rsidR="00C77686" w:rsidRPr="00C34611">
        <w:rPr>
          <w:rFonts w:ascii="Arial" w:eastAsia="Lucida Sans Unicode" w:hAnsi="Arial" w:cs="Arial"/>
          <w:b/>
        </w:rPr>
        <w:t xml:space="preserve">éthodologie </w:t>
      </w:r>
      <w:r w:rsidRPr="00C34611">
        <w:rPr>
          <w:rFonts w:ascii="Arial" w:eastAsia="Lucida Sans Unicode" w:hAnsi="Arial" w:cs="Arial"/>
          <w:b/>
        </w:rPr>
        <w:t xml:space="preserve">d’exécution des prestations </w:t>
      </w:r>
      <w:bookmarkEnd w:id="1"/>
    </w:p>
    <w:p w14:paraId="563EF46A" w14:textId="067C6BE1" w:rsidR="00DB47EB" w:rsidRPr="00C34611" w:rsidRDefault="00DB47EB" w:rsidP="00076827">
      <w:pPr>
        <w:spacing w:before="120" w:after="120"/>
        <w:jc w:val="both"/>
        <w:rPr>
          <w:rFonts w:ascii="Arial" w:eastAsia="Arial Narrow" w:hAnsi="Arial" w:cs="Arial"/>
          <w:bCs/>
        </w:rPr>
      </w:pPr>
      <w:r w:rsidRPr="00C34611">
        <w:rPr>
          <w:rFonts w:ascii="Arial" w:eastAsia="Arial Narrow" w:hAnsi="Arial" w:cs="Arial"/>
          <w:b/>
        </w:rPr>
        <w:t>Attendus de l’Institut Polytechnique de Paris</w:t>
      </w:r>
      <w:r w:rsidRPr="00C34611">
        <w:rPr>
          <w:rFonts w:ascii="Arial" w:eastAsia="Arial Narrow" w:hAnsi="Arial" w:cs="Arial"/>
          <w:bCs/>
        </w:rPr>
        <w:t> :</w:t>
      </w:r>
    </w:p>
    <w:p w14:paraId="14854761" w14:textId="3DB5C924" w:rsidR="00332991" w:rsidRPr="00C34611" w:rsidRDefault="00332991" w:rsidP="00076827">
      <w:pPr>
        <w:tabs>
          <w:tab w:val="left" w:pos="10080"/>
        </w:tabs>
        <w:spacing w:before="120" w:after="120"/>
        <w:jc w:val="both"/>
        <w:rPr>
          <w:rFonts w:ascii="Arial" w:eastAsia="Calibri" w:hAnsi="Arial" w:cs="Arial"/>
        </w:rPr>
      </w:pPr>
      <w:r w:rsidRPr="00C34611">
        <w:rPr>
          <w:rFonts w:ascii="Arial" w:eastAsia="Calibri" w:hAnsi="Arial" w:cs="Arial"/>
        </w:rPr>
        <w:t>→</w:t>
      </w:r>
      <w:r w:rsidR="00DB47EB" w:rsidRPr="00C34611">
        <w:rPr>
          <w:rFonts w:ascii="Arial" w:eastAsia="Calibri" w:hAnsi="Arial" w:cs="Arial"/>
        </w:rPr>
        <w:t xml:space="preserve"> </w:t>
      </w:r>
      <w:r w:rsidRPr="00C34611">
        <w:rPr>
          <w:rFonts w:ascii="Arial" w:eastAsia="Calibri" w:hAnsi="Arial" w:cs="Arial"/>
        </w:rPr>
        <w:t xml:space="preserve">L’audit s’appuiera sur </w:t>
      </w:r>
      <w:r w:rsidR="00DB47EB" w:rsidRPr="00C34611">
        <w:rPr>
          <w:rFonts w:ascii="Arial" w:eastAsia="Calibri" w:hAnsi="Arial" w:cs="Arial"/>
        </w:rPr>
        <w:t xml:space="preserve">la </w:t>
      </w:r>
      <w:r w:rsidRPr="00C34611">
        <w:rPr>
          <w:rFonts w:ascii="Arial" w:eastAsia="Calibri" w:hAnsi="Arial" w:cs="Arial"/>
        </w:rPr>
        <w:t xml:space="preserve">combinaison de données quantitatives (enquêtes, indicateurs de classements internationaux, analyse de web </w:t>
      </w:r>
      <w:proofErr w:type="spellStart"/>
      <w:r w:rsidRPr="00C34611">
        <w:rPr>
          <w:rFonts w:ascii="Arial" w:eastAsia="Calibri" w:hAnsi="Arial" w:cs="Arial"/>
        </w:rPr>
        <w:t>analytics</w:t>
      </w:r>
      <w:proofErr w:type="spellEnd"/>
      <w:r w:rsidRPr="00C34611">
        <w:rPr>
          <w:rFonts w:ascii="Arial" w:eastAsia="Calibri" w:hAnsi="Arial" w:cs="Arial"/>
        </w:rPr>
        <w:t xml:space="preserve"> et social </w:t>
      </w:r>
      <w:proofErr w:type="spellStart"/>
      <w:r w:rsidRPr="00C34611">
        <w:rPr>
          <w:rFonts w:ascii="Arial" w:eastAsia="Calibri" w:hAnsi="Arial" w:cs="Arial"/>
        </w:rPr>
        <w:t>listening</w:t>
      </w:r>
      <w:proofErr w:type="spellEnd"/>
      <w:r w:rsidRPr="00C34611">
        <w:rPr>
          <w:rFonts w:ascii="Arial" w:eastAsia="Calibri" w:hAnsi="Arial" w:cs="Arial"/>
        </w:rPr>
        <w:t xml:space="preserve">) et qualitatives (entretiens et focus groups avec les parties prenantes internes et externes, y compris les </w:t>
      </w:r>
      <w:proofErr w:type="spellStart"/>
      <w:r w:rsidRPr="00C34611">
        <w:rPr>
          <w:rFonts w:ascii="Arial" w:eastAsia="Calibri" w:hAnsi="Arial" w:cs="Arial"/>
        </w:rPr>
        <w:t>alumni</w:t>
      </w:r>
      <w:proofErr w:type="spellEnd"/>
      <w:r w:rsidRPr="00C34611">
        <w:rPr>
          <w:rFonts w:ascii="Arial" w:eastAsia="Calibri" w:hAnsi="Arial" w:cs="Arial"/>
        </w:rPr>
        <w:t>, médias, partenaires académiques et industriels).</w:t>
      </w:r>
    </w:p>
    <w:p w14:paraId="78BFF7C3" w14:textId="01F2334A" w:rsidR="00332991" w:rsidRPr="00C34611" w:rsidRDefault="00332991" w:rsidP="00076827">
      <w:pPr>
        <w:tabs>
          <w:tab w:val="left" w:pos="10080"/>
        </w:tabs>
        <w:spacing w:before="120" w:after="120"/>
        <w:jc w:val="both"/>
        <w:rPr>
          <w:rFonts w:ascii="Arial" w:eastAsia="Calibri" w:hAnsi="Arial" w:cs="Arial"/>
        </w:rPr>
      </w:pPr>
      <w:r w:rsidRPr="00C34611">
        <w:rPr>
          <w:rFonts w:ascii="Arial" w:eastAsia="Calibri" w:hAnsi="Arial" w:cs="Arial"/>
        </w:rPr>
        <w:t>→ Des benchmarks approfondis permettront d’analyser les écarts avec des institutions comparables, en incluant une revue critique de la présence digitale et des supports de communication existants.</w:t>
      </w:r>
    </w:p>
    <w:p w14:paraId="0FA9F344" w14:textId="43A63CC1" w:rsidR="00332991" w:rsidRPr="00C34611" w:rsidRDefault="00332991" w:rsidP="00076827">
      <w:pPr>
        <w:tabs>
          <w:tab w:val="left" w:pos="10080"/>
        </w:tabs>
        <w:spacing w:before="120" w:after="120"/>
        <w:jc w:val="both"/>
        <w:rPr>
          <w:rFonts w:ascii="Arial" w:eastAsia="Calibri" w:hAnsi="Arial" w:cs="Arial"/>
        </w:rPr>
      </w:pPr>
      <w:r w:rsidRPr="00C34611">
        <w:rPr>
          <w:rFonts w:ascii="Arial" w:eastAsia="Calibri" w:hAnsi="Arial" w:cs="Arial"/>
        </w:rPr>
        <w:t xml:space="preserve">→ L’élaboration de la stratégie reposera sur des ateliers de co-construction avec IP Paris (brand workshop), pour clarifier l’identité, les attributs de marque, la proposition de valeur et la structure narrative (messaging </w:t>
      </w:r>
      <w:proofErr w:type="spellStart"/>
      <w:r w:rsidRPr="00C34611">
        <w:rPr>
          <w:rFonts w:ascii="Arial" w:eastAsia="Calibri" w:hAnsi="Arial" w:cs="Arial"/>
        </w:rPr>
        <w:t>framework</w:t>
      </w:r>
      <w:proofErr w:type="spellEnd"/>
      <w:r w:rsidRPr="00C34611">
        <w:rPr>
          <w:rFonts w:ascii="Arial" w:eastAsia="Calibri" w:hAnsi="Arial" w:cs="Arial"/>
        </w:rPr>
        <w:t>).</w:t>
      </w:r>
    </w:p>
    <w:p w14:paraId="5656F8BB" w14:textId="5B758BA9" w:rsidR="00332991" w:rsidRPr="00C34611" w:rsidRDefault="00332991" w:rsidP="00076827">
      <w:pPr>
        <w:tabs>
          <w:tab w:val="left" w:pos="10080"/>
        </w:tabs>
        <w:spacing w:before="120" w:after="120"/>
        <w:jc w:val="both"/>
        <w:rPr>
          <w:rFonts w:ascii="Arial" w:eastAsia="Calibri" w:hAnsi="Arial" w:cs="Arial"/>
        </w:rPr>
      </w:pPr>
      <w:r w:rsidRPr="00C34611">
        <w:rPr>
          <w:rFonts w:ascii="Arial" w:eastAsia="Calibri" w:hAnsi="Arial" w:cs="Arial"/>
        </w:rPr>
        <w:t>→ L’activation inclura un plan d’action sur mesure, mobilisant des canaux adaptés aux cibles internationales prioritaires (académique, institutionnel, industriel, médias) et une stratégie d'engagement multicanal cohérente avec les KPIs fixés.</w:t>
      </w:r>
    </w:p>
    <w:p w14:paraId="5BAE9281" w14:textId="0CE5D04E" w:rsidR="00332991" w:rsidRPr="00C34611" w:rsidRDefault="00332991" w:rsidP="00076827">
      <w:pPr>
        <w:tabs>
          <w:tab w:val="left" w:pos="10080"/>
        </w:tabs>
        <w:spacing w:before="120" w:after="120"/>
        <w:jc w:val="both"/>
        <w:rPr>
          <w:rFonts w:ascii="Arial" w:eastAsia="Calibri" w:hAnsi="Arial" w:cs="Arial"/>
        </w:rPr>
      </w:pPr>
      <w:r w:rsidRPr="00C34611">
        <w:rPr>
          <w:rFonts w:ascii="Arial" w:eastAsia="Calibri" w:hAnsi="Arial" w:cs="Arial"/>
        </w:rPr>
        <w:t>→ Le suivi s’effectuera via des audits annuels et des tableaux de bord comprenant des indicateurs qualitatifs et quantitatifs (évolution des perceptions, taux d’engagement, part de voix, visibilité dans les classements, etc.), avec recommandations d’ajustement</w:t>
      </w:r>
    </w:p>
    <w:p w14:paraId="5EFEFBA7" w14:textId="6A0B0532" w:rsidR="00332991" w:rsidRPr="00C34611" w:rsidRDefault="00332991" w:rsidP="00076827">
      <w:pPr>
        <w:tabs>
          <w:tab w:val="left" w:pos="10080"/>
        </w:tabs>
        <w:spacing w:before="120" w:after="120"/>
        <w:jc w:val="both"/>
        <w:rPr>
          <w:rFonts w:ascii="Arial" w:eastAsia="Calibri" w:hAnsi="Arial" w:cs="Arial"/>
        </w:rPr>
      </w:pPr>
      <w:r w:rsidRPr="00C34611">
        <w:rPr>
          <w:rFonts w:ascii="Arial" w:eastAsia="Calibri" w:hAnsi="Arial" w:cs="Arial"/>
        </w:rPr>
        <w:t>→ Enfin, la méthodologie comprend des sessions de formation et de transfert de compétences aux équipes internes pour garantir la continuité et l’appropriation des outils.</w:t>
      </w:r>
    </w:p>
    <w:p w14:paraId="5E7327D8"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02CC84E1"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7B12656E"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0BCA27ED"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656A55FC"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3B7188CD"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0D99FBAA"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67585E68"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442A97B8"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310B42D0"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180EFEA8"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2A586662"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1C5C82D6"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24141F4A"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330121AA"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4D75510C"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28B30E7B"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783F4558"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2E5437CE"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6FEDB6F8"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0D913FD5"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184A8C0C"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7EEB6EA3"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290071F4"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11207888"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25BCB98C"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5426F5EB"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75B50BD7"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3D941E48"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7A265B40" w14:textId="77777777" w:rsidR="006D18C2" w:rsidRPr="00C34611" w:rsidRDefault="006D18C2" w:rsidP="006D18C2">
      <w:pPr>
        <w:pBdr>
          <w:top w:val="single" w:sz="4" w:space="1" w:color="auto"/>
          <w:left w:val="single" w:sz="4" w:space="4" w:color="auto"/>
          <w:bottom w:val="single" w:sz="4" w:space="1" w:color="auto"/>
          <w:right w:val="single" w:sz="4" w:space="23" w:color="auto"/>
        </w:pBdr>
        <w:spacing w:line="276" w:lineRule="auto"/>
        <w:rPr>
          <w:rFonts w:ascii="Arial" w:hAnsi="Arial" w:cs="Arial"/>
          <w:iCs/>
        </w:rPr>
      </w:pPr>
      <w:r w:rsidRPr="00C34611">
        <w:rPr>
          <w:rFonts w:ascii="Arial" w:hAnsi="Arial" w:cs="Arial"/>
          <w:iCs/>
          <w:u w:val="single"/>
        </w:rPr>
        <w:t>Renvoi à des documents annexes le cas échéant</w:t>
      </w:r>
      <w:r w:rsidRPr="00C34611">
        <w:rPr>
          <w:rFonts w:ascii="Arial" w:hAnsi="Arial" w:cs="Arial"/>
          <w:iCs/>
        </w:rPr>
        <w:t xml:space="preserve"> :  </w:t>
      </w:r>
    </w:p>
    <w:p w14:paraId="2C8799CA" w14:textId="77777777" w:rsidR="006D18C2" w:rsidRPr="00C34611" w:rsidRDefault="006D18C2" w:rsidP="006D18C2">
      <w:pPr>
        <w:pBdr>
          <w:top w:val="single" w:sz="4" w:space="1" w:color="auto"/>
          <w:left w:val="single" w:sz="4" w:space="4" w:color="auto"/>
          <w:bottom w:val="single" w:sz="4" w:space="1" w:color="auto"/>
          <w:right w:val="single" w:sz="4" w:space="23" w:color="auto"/>
        </w:pBdr>
        <w:spacing w:line="276" w:lineRule="auto"/>
        <w:rPr>
          <w:rFonts w:ascii="Arial" w:hAnsi="Arial" w:cs="Arial"/>
          <w:iCs/>
        </w:rPr>
      </w:pPr>
      <w:r w:rsidRPr="00C34611">
        <w:rPr>
          <w:rFonts w:ascii="Arial" w:hAnsi="Arial" w:cs="Arial"/>
          <w:iCs/>
        </w:rPr>
        <w:t>- Intitulé précis des annexes :</w:t>
      </w:r>
    </w:p>
    <w:p w14:paraId="6923B7D1" w14:textId="77777777" w:rsidR="006D18C2" w:rsidRPr="00C34611" w:rsidRDefault="006D18C2" w:rsidP="006D18C2">
      <w:pPr>
        <w:pBdr>
          <w:top w:val="single" w:sz="4" w:space="1" w:color="auto"/>
          <w:left w:val="single" w:sz="4" w:space="4" w:color="auto"/>
          <w:bottom w:val="single" w:sz="4" w:space="1" w:color="auto"/>
          <w:right w:val="single" w:sz="4" w:space="23" w:color="auto"/>
        </w:pBdr>
        <w:spacing w:line="276" w:lineRule="auto"/>
        <w:rPr>
          <w:rFonts w:ascii="Arial" w:hAnsi="Arial" w:cs="Arial"/>
          <w:iCs/>
        </w:rPr>
      </w:pPr>
      <w:r w:rsidRPr="00C34611">
        <w:rPr>
          <w:rFonts w:ascii="Arial" w:hAnsi="Arial" w:cs="Arial"/>
          <w:iCs/>
        </w:rPr>
        <w:t>- Numéros de pages se rapportant exclusivement au présent sous-critère :</w:t>
      </w:r>
    </w:p>
    <w:p w14:paraId="42229C6F" w14:textId="1A4FBA2D" w:rsidR="00E22D8E" w:rsidRPr="00C34611" w:rsidRDefault="006D18C2" w:rsidP="006D18C2">
      <w:pPr>
        <w:ind w:left="8" w:right="-569"/>
        <w:rPr>
          <w:rFonts w:ascii="Arial" w:hAnsi="Arial" w:cs="Arial"/>
          <w:b/>
          <w:iCs/>
          <w:u w:val="single"/>
        </w:rPr>
      </w:pPr>
      <w:r w:rsidRPr="00C34611">
        <w:rPr>
          <w:rFonts w:ascii="Arial" w:hAnsi="Arial" w:cs="Arial"/>
          <w:b/>
          <w:iCs/>
          <w:u w:val="single"/>
        </w:rPr>
        <w:br w:type="page"/>
      </w:r>
    </w:p>
    <w:p w14:paraId="0E4530DE" w14:textId="77777777" w:rsidR="00E22D8E" w:rsidRPr="00C34611" w:rsidRDefault="00E22D8E" w:rsidP="00076827">
      <w:pPr>
        <w:tabs>
          <w:tab w:val="left" w:pos="10080"/>
        </w:tabs>
        <w:spacing w:before="120" w:after="120"/>
        <w:jc w:val="both"/>
        <w:rPr>
          <w:rFonts w:ascii="Arial" w:eastAsia="Calibri" w:hAnsi="Arial" w:cs="Arial"/>
        </w:rPr>
      </w:pPr>
    </w:p>
    <w:p w14:paraId="5D62962A" w14:textId="479712D4" w:rsidR="00EC0DC0" w:rsidRPr="00C34611" w:rsidRDefault="00152035" w:rsidP="00076827">
      <w:pPr>
        <w:spacing w:before="120" w:after="120"/>
        <w:rPr>
          <w:rFonts w:ascii="Arial" w:eastAsia="Arial Narrow" w:hAnsi="Arial" w:cs="Arial"/>
          <w:b/>
          <w:bCs/>
          <w:u w:val="single"/>
        </w:rPr>
      </w:pPr>
      <w:r w:rsidRPr="00C34611">
        <w:rPr>
          <w:rFonts w:ascii="Arial" w:eastAsia="Arial Narrow" w:hAnsi="Arial" w:cs="Arial"/>
          <w:b/>
          <w:bCs/>
          <w:u w:val="single"/>
        </w:rPr>
        <w:t>Sous-critère 1.</w:t>
      </w:r>
      <w:r w:rsidR="00B71600" w:rsidRPr="00C34611">
        <w:rPr>
          <w:rFonts w:ascii="Arial" w:eastAsia="Arial Narrow" w:hAnsi="Arial" w:cs="Arial"/>
          <w:b/>
          <w:bCs/>
          <w:u w:val="single"/>
        </w:rPr>
        <w:t>2</w:t>
      </w:r>
      <w:r w:rsidRPr="00C34611">
        <w:rPr>
          <w:rFonts w:ascii="Arial" w:eastAsia="Arial Narrow" w:hAnsi="Arial" w:cs="Arial"/>
          <w:b/>
          <w:bCs/>
        </w:rPr>
        <w:t> </w:t>
      </w:r>
      <w:r w:rsidR="00C77686" w:rsidRPr="00C34611">
        <w:rPr>
          <w:rFonts w:ascii="Arial" w:eastAsia="Arial Narrow" w:hAnsi="Arial" w:cs="Arial"/>
          <w:b/>
          <w:bCs/>
        </w:rPr>
        <w:t xml:space="preserve">(30%) </w:t>
      </w:r>
      <w:r w:rsidRPr="00C34611">
        <w:rPr>
          <w:rFonts w:ascii="Arial" w:eastAsia="Arial Narrow" w:hAnsi="Arial" w:cs="Arial"/>
          <w:b/>
          <w:bCs/>
        </w:rPr>
        <w:t>:</w:t>
      </w:r>
      <w:r w:rsidR="00DF24FF" w:rsidRPr="00C34611">
        <w:rPr>
          <w:rFonts w:ascii="Arial" w:hAnsi="Arial" w:cs="Arial"/>
          <w:b/>
          <w:bCs/>
        </w:rPr>
        <w:t xml:space="preserve"> </w:t>
      </w:r>
      <w:r w:rsidR="0043790E">
        <w:rPr>
          <w:rFonts w:ascii="Arial" w:hAnsi="Arial" w:cs="Arial"/>
          <w:b/>
          <w:bCs/>
          <w:color w:val="000000"/>
        </w:rPr>
        <w:t>M</w:t>
      </w:r>
      <w:r w:rsidR="00B71600" w:rsidRPr="00C34611">
        <w:rPr>
          <w:rFonts w:ascii="Arial" w:hAnsi="Arial" w:cs="Arial"/>
          <w:b/>
          <w:bCs/>
          <w:color w:val="000000"/>
        </w:rPr>
        <w:t xml:space="preserve">oyens humains et qualifications de l'équipe dédiée à la prestation </w:t>
      </w:r>
    </w:p>
    <w:p w14:paraId="43D1C219" w14:textId="11239425" w:rsidR="00DB47EB" w:rsidRPr="00C34611" w:rsidRDefault="00DB47EB" w:rsidP="00076827">
      <w:pPr>
        <w:spacing w:before="120" w:after="120"/>
        <w:jc w:val="both"/>
        <w:rPr>
          <w:rFonts w:ascii="Arial" w:eastAsia="Calibri" w:hAnsi="Arial" w:cs="Arial"/>
        </w:rPr>
      </w:pPr>
      <w:r w:rsidRPr="00C34611">
        <w:rPr>
          <w:rFonts w:ascii="Arial" w:eastAsia="Arial Narrow" w:hAnsi="Arial" w:cs="Arial"/>
          <w:b/>
        </w:rPr>
        <w:t>Attendus de l’Institut Polytechnique de Paris</w:t>
      </w:r>
      <w:r w:rsidRPr="00C34611">
        <w:rPr>
          <w:rFonts w:ascii="Arial" w:eastAsia="Arial Narrow" w:hAnsi="Arial" w:cs="Arial"/>
          <w:bCs/>
        </w:rPr>
        <w:t> :</w:t>
      </w:r>
    </w:p>
    <w:p w14:paraId="62E38EC0" w14:textId="17264DC1" w:rsidR="00DB47EB" w:rsidRPr="00C34611" w:rsidRDefault="00DB2583" w:rsidP="00076827">
      <w:pPr>
        <w:tabs>
          <w:tab w:val="left" w:pos="10080"/>
        </w:tabs>
        <w:spacing w:before="120" w:after="120"/>
        <w:jc w:val="both"/>
        <w:rPr>
          <w:rFonts w:ascii="Arial" w:eastAsia="Calibri" w:hAnsi="Arial" w:cs="Arial"/>
        </w:rPr>
      </w:pPr>
      <w:r w:rsidRPr="00C34611">
        <w:rPr>
          <w:rFonts w:ascii="Arial" w:eastAsia="Calibri" w:hAnsi="Arial" w:cs="Arial"/>
        </w:rPr>
        <w:t xml:space="preserve">→ </w:t>
      </w:r>
      <w:proofErr w:type="spellStart"/>
      <w:r w:rsidR="006D18C2" w:rsidRPr="00C34611">
        <w:rPr>
          <w:rFonts w:ascii="Arial" w:eastAsia="Calibri" w:hAnsi="Arial" w:cs="Arial"/>
          <w:b/>
        </w:rPr>
        <w:t>Sous-sous</w:t>
      </w:r>
      <w:proofErr w:type="spellEnd"/>
      <w:r w:rsidR="006D18C2" w:rsidRPr="00C34611">
        <w:rPr>
          <w:rFonts w:ascii="Arial" w:eastAsia="Calibri" w:hAnsi="Arial" w:cs="Arial"/>
          <w:b/>
        </w:rPr>
        <w:t xml:space="preserve"> critère 1</w:t>
      </w:r>
      <w:r w:rsidR="005B3F01" w:rsidRPr="00C34611">
        <w:rPr>
          <w:rFonts w:ascii="Arial" w:eastAsia="Calibri" w:hAnsi="Arial" w:cs="Arial"/>
          <w:b/>
        </w:rPr>
        <w:t>.</w:t>
      </w:r>
      <w:r w:rsidR="006D18C2" w:rsidRPr="00C34611">
        <w:rPr>
          <w:rFonts w:ascii="Arial" w:eastAsia="Calibri" w:hAnsi="Arial" w:cs="Arial"/>
          <w:b/>
        </w:rPr>
        <w:t>2.1 (20 sur 100)</w:t>
      </w:r>
      <w:r w:rsidR="00C34611">
        <w:rPr>
          <w:rFonts w:ascii="Arial" w:eastAsia="Calibri" w:hAnsi="Arial" w:cs="Arial"/>
          <w:b/>
        </w:rPr>
        <w:t> :</w:t>
      </w:r>
      <w:r w:rsidR="006D18C2" w:rsidRPr="00C34611">
        <w:rPr>
          <w:rFonts w:ascii="Arial" w:eastAsia="Calibri" w:hAnsi="Arial" w:cs="Arial"/>
        </w:rPr>
        <w:t xml:space="preserve"> </w:t>
      </w:r>
      <w:bookmarkStart w:id="2" w:name="_GoBack"/>
      <w:r w:rsidR="00944FF2" w:rsidRPr="00944FF2">
        <w:rPr>
          <w:rFonts w:ascii="Arial" w:eastAsia="Calibri" w:hAnsi="Arial" w:cs="Arial"/>
          <w:b/>
        </w:rPr>
        <w:t>La gestion administrative du marché :</w:t>
      </w:r>
      <w:r w:rsidR="00944FF2">
        <w:rPr>
          <w:rFonts w:ascii="Arial" w:eastAsia="Calibri" w:hAnsi="Arial" w:cs="Arial"/>
        </w:rPr>
        <w:t xml:space="preserve"> </w:t>
      </w:r>
      <w:bookmarkEnd w:id="2"/>
      <w:r w:rsidR="0043790E">
        <w:rPr>
          <w:rFonts w:ascii="Arial" w:eastAsia="Calibri" w:hAnsi="Arial" w:cs="Arial"/>
        </w:rPr>
        <w:t xml:space="preserve">La prestation </w:t>
      </w:r>
      <w:r w:rsidRPr="00C34611">
        <w:rPr>
          <w:rFonts w:ascii="Arial" w:eastAsia="Calibri" w:hAnsi="Arial" w:cs="Arial"/>
        </w:rPr>
        <w:t xml:space="preserve">sera assurée par une équipe projet structurée, avec un interlocuteur administratif identifié et une responsable du suivi contractuel et financier. Cette cellule garantit le respect des échéances, la traçabilité des livrables et le </w:t>
      </w:r>
      <w:proofErr w:type="spellStart"/>
      <w:r w:rsidRPr="00C34611">
        <w:rPr>
          <w:rFonts w:ascii="Arial" w:eastAsia="Calibri" w:hAnsi="Arial" w:cs="Arial"/>
        </w:rPr>
        <w:t>reporting</w:t>
      </w:r>
      <w:proofErr w:type="spellEnd"/>
      <w:r w:rsidRPr="00C34611">
        <w:rPr>
          <w:rFonts w:ascii="Arial" w:eastAsia="Calibri" w:hAnsi="Arial" w:cs="Arial"/>
        </w:rPr>
        <w:t xml:space="preserve"> administratif régulier.</w:t>
      </w:r>
    </w:p>
    <w:p w14:paraId="104B8E61"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3DA1DBDB"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057C3861"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098B9039"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4A2889E9"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103F9A1F"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73084F01"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20CBDEF6"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4835581C"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418214B8"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3661BBEC" w14:textId="77777777" w:rsidR="00715BB6" w:rsidRPr="00C34611" w:rsidRDefault="00715BB6" w:rsidP="00715BB6">
      <w:pPr>
        <w:tabs>
          <w:tab w:val="left" w:leader="dot" w:pos="9746"/>
        </w:tabs>
        <w:jc w:val="both"/>
        <w:rPr>
          <w:rFonts w:ascii="Arial" w:hAnsi="Arial" w:cs="Arial"/>
        </w:rPr>
      </w:pPr>
      <w:r w:rsidRPr="00C34611">
        <w:rPr>
          <w:rFonts w:ascii="Arial" w:hAnsi="Arial" w:cs="Arial"/>
        </w:rPr>
        <w:tab/>
      </w:r>
    </w:p>
    <w:p w14:paraId="610C9B46"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3BADC4C4"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1462621B"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1D5A638D"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2FA9E57A"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23D53737"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45B3EDCE"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22B6D3DA"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5AEA07C5"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5F38E589"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24CA91DC"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0A4A7DA4"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66C2B273"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5644D69E"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29EA5A5E"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1E99A25D"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06F697F0"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3D2F96F9"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65BF9E8E"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03328E19"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458206C2"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284A2ABB"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405601C7"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7FA5FD60" w14:textId="77777777" w:rsidR="006D18C2" w:rsidRPr="00C34611" w:rsidRDefault="006D18C2" w:rsidP="006D18C2">
      <w:pPr>
        <w:tabs>
          <w:tab w:val="left" w:pos="10080"/>
        </w:tabs>
        <w:spacing w:before="120" w:after="120"/>
        <w:jc w:val="both"/>
        <w:rPr>
          <w:rFonts w:ascii="Arial" w:eastAsia="Calibri" w:hAnsi="Arial" w:cs="Arial"/>
        </w:rPr>
      </w:pPr>
    </w:p>
    <w:p w14:paraId="1DF65273" w14:textId="77777777" w:rsidR="006D18C2" w:rsidRPr="00C34611" w:rsidRDefault="006D18C2" w:rsidP="006D18C2">
      <w:pPr>
        <w:tabs>
          <w:tab w:val="left" w:leader="dot" w:pos="9746"/>
        </w:tabs>
        <w:jc w:val="both"/>
        <w:rPr>
          <w:rFonts w:ascii="Arial" w:hAnsi="Arial" w:cs="Arial"/>
          <w:b/>
          <w:u w:val="single"/>
        </w:rPr>
      </w:pPr>
    </w:p>
    <w:p w14:paraId="0DC5C1F3" w14:textId="77777777" w:rsidR="006D18C2" w:rsidRPr="00C34611" w:rsidRDefault="006D18C2" w:rsidP="006D18C2">
      <w:pPr>
        <w:pBdr>
          <w:top w:val="single" w:sz="4" w:space="1" w:color="auto"/>
          <w:left w:val="single" w:sz="4" w:space="4" w:color="auto"/>
          <w:bottom w:val="single" w:sz="4" w:space="1" w:color="auto"/>
          <w:right w:val="single" w:sz="4" w:space="23" w:color="auto"/>
        </w:pBdr>
        <w:spacing w:line="276" w:lineRule="auto"/>
        <w:rPr>
          <w:rFonts w:ascii="Arial" w:hAnsi="Arial" w:cs="Arial"/>
          <w:iCs/>
        </w:rPr>
      </w:pPr>
      <w:r w:rsidRPr="00C34611">
        <w:rPr>
          <w:rFonts w:ascii="Arial" w:hAnsi="Arial" w:cs="Arial"/>
          <w:iCs/>
          <w:u w:val="single"/>
        </w:rPr>
        <w:t>Renvoi à des documents annexes le cas échéant</w:t>
      </w:r>
      <w:r w:rsidRPr="00C34611">
        <w:rPr>
          <w:rFonts w:ascii="Arial" w:hAnsi="Arial" w:cs="Arial"/>
          <w:iCs/>
        </w:rPr>
        <w:t xml:space="preserve"> :  </w:t>
      </w:r>
    </w:p>
    <w:p w14:paraId="76AE3548" w14:textId="77777777" w:rsidR="006D18C2" w:rsidRPr="00C34611" w:rsidRDefault="006D18C2" w:rsidP="006D18C2">
      <w:pPr>
        <w:pBdr>
          <w:top w:val="single" w:sz="4" w:space="1" w:color="auto"/>
          <w:left w:val="single" w:sz="4" w:space="4" w:color="auto"/>
          <w:bottom w:val="single" w:sz="4" w:space="1" w:color="auto"/>
          <w:right w:val="single" w:sz="4" w:space="23" w:color="auto"/>
        </w:pBdr>
        <w:spacing w:line="276" w:lineRule="auto"/>
        <w:rPr>
          <w:rFonts w:ascii="Arial" w:hAnsi="Arial" w:cs="Arial"/>
          <w:iCs/>
        </w:rPr>
      </w:pPr>
      <w:r w:rsidRPr="00C34611">
        <w:rPr>
          <w:rFonts w:ascii="Arial" w:hAnsi="Arial" w:cs="Arial"/>
          <w:iCs/>
        </w:rPr>
        <w:t>- Intitulé précis des annexes :</w:t>
      </w:r>
    </w:p>
    <w:p w14:paraId="143EF93B" w14:textId="77777777" w:rsidR="006D18C2" w:rsidRPr="00C34611" w:rsidRDefault="006D18C2" w:rsidP="006D18C2">
      <w:pPr>
        <w:pBdr>
          <w:top w:val="single" w:sz="4" w:space="1" w:color="auto"/>
          <w:left w:val="single" w:sz="4" w:space="4" w:color="auto"/>
          <w:bottom w:val="single" w:sz="4" w:space="1" w:color="auto"/>
          <w:right w:val="single" w:sz="4" w:space="23" w:color="auto"/>
        </w:pBdr>
        <w:spacing w:line="276" w:lineRule="auto"/>
        <w:rPr>
          <w:rFonts w:ascii="Arial" w:hAnsi="Arial" w:cs="Arial"/>
          <w:iCs/>
        </w:rPr>
      </w:pPr>
      <w:r w:rsidRPr="00C34611">
        <w:rPr>
          <w:rFonts w:ascii="Arial" w:hAnsi="Arial" w:cs="Arial"/>
          <w:iCs/>
        </w:rPr>
        <w:t>- Numéros de pages se rapportant exclusivement au présent sous-critère :</w:t>
      </w:r>
    </w:p>
    <w:p w14:paraId="32659F90" w14:textId="6795FA2C" w:rsidR="00E22D8E" w:rsidRPr="00C34611" w:rsidRDefault="006D18C2" w:rsidP="00076827">
      <w:pPr>
        <w:tabs>
          <w:tab w:val="left" w:pos="10080"/>
        </w:tabs>
        <w:spacing w:before="120" w:after="120"/>
        <w:jc w:val="both"/>
        <w:rPr>
          <w:rFonts w:ascii="Arial" w:eastAsia="Calibri" w:hAnsi="Arial" w:cs="Arial"/>
        </w:rPr>
      </w:pPr>
      <w:r w:rsidRPr="00C34611">
        <w:rPr>
          <w:rFonts w:ascii="Arial" w:hAnsi="Arial" w:cs="Arial"/>
          <w:b/>
          <w:iCs/>
          <w:u w:val="single"/>
        </w:rPr>
        <w:br w:type="page"/>
      </w:r>
    </w:p>
    <w:p w14:paraId="46394161" w14:textId="55BC12E2" w:rsidR="00DB2583" w:rsidRPr="00C34611" w:rsidRDefault="00DB2583" w:rsidP="00076827">
      <w:pPr>
        <w:tabs>
          <w:tab w:val="left" w:pos="10080"/>
        </w:tabs>
        <w:spacing w:before="120" w:after="120"/>
        <w:jc w:val="both"/>
        <w:rPr>
          <w:rFonts w:ascii="Arial" w:eastAsia="Calibri" w:hAnsi="Arial" w:cs="Arial"/>
        </w:rPr>
      </w:pPr>
      <w:r w:rsidRPr="00C34611">
        <w:rPr>
          <w:rFonts w:ascii="Arial" w:eastAsia="Calibri" w:hAnsi="Arial" w:cs="Arial"/>
        </w:rPr>
        <w:lastRenderedPageBreak/>
        <w:t xml:space="preserve">→ </w:t>
      </w:r>
      <w:proofErr w:type="spellStart"/>
      <w:r w:rsidR="006D18C2" w:rsidRPr="00C34611">
        <w:rPr>
          <w:rFonts w:ascii="Arial" w:eastAsia="Calibri" w:hAnsi="Arial" w:cs="Arial"/>
          <w:b/>
        </w:rPr>
        <w:t>Sous-sous</w:t>
      </w:r>
      <w:proofErr w:type="spellEnd"/>
      <w:r w:rsidR="006D18C2" w:rsidRPr="00C34611">
        <w:rPr>
          <w:rFonts w:ascii="Arial" w:eastAsia="Calibri" w:hAnsi="Arial" w:cs="Arial"/>
          <w:b/>
        </w:rPr>
        <w:t xml:space="preserve"> critère 1,2 .</w:t>
      </w:r>
      <w:r w:rsidR="00940BFC" w:rsidRPr="00C34611">
        <w:rPr>
          <w:rFonts w:ascii="Arial" w:eastAsia="Calibri" w:hAnsi="Arial" w:cs="Arial"/>
          <w:b/>
        </w:rPr>
        <w:t>2</w:t>
      </w:r>
      <w:r w:rsidR="006D18C2" w:rsidRPr="00C34611">
        <w:rPr>
          <w:rFonts w:ascii="Arial" w:eastAsia="Calibri" w:hAnsi="Arial" w:cs="Arial"/>
          <w:b/>
        </w:rPr>
        <w:t xml:space="preserve"> (80 sur 100) L</w:t>
      </w:r>
      <w:r w:rsidR="00C34611" w:rsidRPr="00C34611">
        <w:rPr>
          <w:rFonts w:ascii="Arial" w:eastAsia="Calibri" w:hAnsi="Arial" w:cs="Arial"/>
          <w:b/>
        </w:rPr>
        <w:t>’</w:t>
      </w:r>
      <w:r w:rsidR="006D18C2" w:rsidRPr="00C34611">
        <w:rPr>
          <w:rFonts w:ascii="Arial" w:eastAsia="Calibri" w:hAnsi="Arial" w:cs="Arial"/>
          <w:b/>
        </w:rPr>
        <w:t>Equipe dédiée à la prestation :</w:t>
      </w:r>
      <w:r w:rsidR="006D18C2" w:rsidRPr="00C34611">
        <w:rPr>
          <w:rFonts w:ascii="Arial" w:eastAsia="Calibri" w:hAnsi="Arial" w:cs="Arial"/>
        </w:rPr>
        <w:t xml:space="preserve"> </w:t>
      </w:r>
      <w:r w:rsidRPr="00C34611">
        <w:rPr>
          <w:rFonts w:ascii="Arial" w:eastAsia="Calibri" w:hAnsi="Arial" w:cs="Arial"/>
        </w:rPr>
        <w:t xml:space="preserve">l’équipe mobilisée </w:t>
      </w:r>
      <w:r w:rsidR="00DB47EB" w:rsidRPr="00C34611">
        <w:rPr>
          <w:rFonts w:ascii="Arial" w:eastAsia="Calibri" w:hAnsi="Arial" w:cs="Arial"/>
        </w:rPr>
        <w:t>devra inclure</w:t>
      </w:r>
      <w:r w:rsidRPr="00C34611">
        <w:rPr>
          <w:rFonts w:ascii="Arial" w:eastAsia="Calibri" w:hAnsi="Arial" w:cs="Arial"/>
        </w:rPr>
        <w:t xml:space="preserve"> des profils spécialisés dans chaque volet de la mission (audit de réputation, analyse des classements, stratégie de marque, communication institutionnelle), afin de couvrir l’ensemble du périmètre défini par le CCTP. Un chef de projet senior coordonnera les interventions, en lien direct avec les responsables IP Paris.</w:t>
      </w:r>
      <w:r w:rsidR="00DB47EB" w:rsidRPr="00C34611">
        <w:rPr>
          <w:rFonts w:ascii="Arial" w:eastAsia="Calibri" w:hAnsi="Arial" w:cs="Arial"/>
        </w:rPr>
        <w:t xml:space="preserve"> L</w:t>
      </w:r>
      <w:r w:rsidRPr="00C34611">
        <w:rPr>
          <w:rFonts w:ascii="Arial" w:eastAsia="Calibri" w:hAnsi="Arial" w:cs="Arial"/>
        </w:rPr>
        <w:t xml:space="preserve">es membres clés de l’équipe </w:t>
      </w:r>
      <w:r w:rsidR="00DB47EB" w:rsidRPr="00C34611">
        <w:rPr>
          <w:rFonts w:ascii="Arial" w:eastAsia="Calibri" w:hAnsi="Arial" w:cs="Arial"/>
        </w:rPr>
        <w:t>devront disposer</w:t>
      </w:r>
      <w:r w:rsidRPr="00C34611">
        <w:rPr>
          <w:rFonts w:ascii="Arial" w:eastAsia="Calibri" w:hAnsi="Arial" w:cs="Arial"/>
        </w:rPr>
        <w:t xml:space="preserve"> d’une expérience significative auprès d’universités de rang mondial</w:t>
      </w:r>
      <w:r w:rsidR="00DB47EB" w:rsidRPr="00C34611">
        <w:rPr>
          <w:rFonts w:ascii="Arial" w:eastAsia="Calibri" w:hAnsi="Arial" w:cs="Arial"/>
        </w:rPr>
        <w:t xml:space="preserve"> et avoir une</w:t>
      </w:r>
      <w:r w:rsidRPr="00C34611">
        <w:rPr>
          <w:rFonts w:ascii="Arial" w:eastAsia="Calibri" w:hAnsi="Arial" w:cs="Arial"/>
        </w:rPr>
        <w:t xml:space="preserve"> connaissance approfondie </w:t>
      </w:r>
      <w:r w:rsidR="00DB47EB" w:rsidRPr="00C34611">
        <w:rPr>
          <w:rFonts w:ascii="Arial" w:eastAsia="Calibri" w:hAnsi="Arial" w:cs="Arial"/>
        </w:rPr>
        <w:t>de leurs enjeux</w:t>
      </w:r>
      <w:r w:rsidRPr="00C34611">
        <w:rPr>
          <w:rFonts w:ascii="Arial" w:eastAsia="Calibri" w:hAnsi="Arial" w:cs="Arial"/>
        </w:rPr>
        <w:t xml:space="preserve">, notamment en matière de réputation internationale. Le prestataire </w:t>
      </w:r>
      <w:r w:rsidR="00DB47EB" w:rsidRPr="00C34611">
        <w:rPr>
          <w:rFonts w:ascii="Arial" w:eastAsia="Calibri" w:hAnsi="Arial" w:cs="Arial"/>
        </w:rPr>
        <w:t xml:space="preserve">devra </w:t>
      </w:r>
      <w:r w:rsidRPr="00C34611">
        <w:rPr>
          <w:rFonts w:ascii="Arial" w:eastAsia="Calibri" w:hAnsi="Arial" w:cs="Arial"/>
        </w:rPr>
        <w:t>justifie</w:t>
      </w:r>
      <w:r w:rsidR="00DB47EB" w:rsidRPr="00C34611">
        <w:rPr>
          <w:rFonts w:ascii="Arial" w:eastAsia="Calibri" w:hAnsi="Arial" w:cs="Arial"/>
        </w:rPr>
        <w:t>r</w:t>
      </w:r>
      <w:r w:rsidRPr="00C34611">
        <w:rPr>
          <w:rFonts w:ascii="Arial" w:eastAsia="Calibri" w:hAnsi="Arial" w:cs="Arial"/>
        </w:rPr>
        <w:t xml:space="preserve"> d’une solide expérience dans le pilotage de missions globales pour des institutions académiques (notamment en </w:t>
      </w:r>
      <w:proofErr w:type="spellStart"/>
      <w:r w:rsidRPr="00C34611">
        <w:rPr>
          <w:rFonts w:ascii="Arial" w:eastAsia="Calibri" w:hAnsi="Arial" w:cs="Arial"/>
        </w:rPr>
        <w:t>co-conception</w:t>
      </w:r>
      <w:proofErr w:type="spellEnd"/>
      <w:r w:rsidRPr="00C34611">
        <w:rPr>
          <w:rFonts w:ascii="Arial" w:eastAsia="Calibri" w:hAnsi="Arial" w:cs="Arial"/>
        </w:rPr>
        <w:t xml:space="preserve"> de plans de transformation de marque), incluant coordination des livrables, animation d’ateliers, encadrement d’enquêtes multilingues, et </w:t>
      </w:r>
      <w:proofErr w:type="spellStart"/>
      <w:r w:rsidRPr="00C34611">
        <w:rPr>
          <w:rFonts w:ascii="Arial" w:eastAsia="Calibri" w:hAnsi="Arial" w:cs="Arial"/>
        </w:rPr>
        <w:t>reporting</w:t>
      </w:r>
      <w:proofErr w:type="spellEnd"/>
      <w:r w:rsidRPr="00C34611">
        <w:rPr>
          <w:rFonts w:ascii="Arial" w:eastAsia="Calibri" w:hAnsi="Arial" w:cs="Arial"/>
        </w:rPr>
        <w:t xml:space="preserve"> stratégique à des instances de gouvernance.</w:t>
      </w:r>
    </w:p>
    <w:p w14:paraId="1349B85B"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0E3224CC"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34BA6041"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6D0B75A7"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6BAD71EA"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77F80DB9"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02336BD2"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09BC0347"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0CD65FD0"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17266EB2"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38715977"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6F820305"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69BABA05"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3B7F3E8A"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1B8EFD1E"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5791183A"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745B48FA"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200DA671"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46B6F027"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7327DD5C"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5B64006A"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2670D53A"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51B0C911"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061E7775"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59D974A8"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065D30DE"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40287456"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6B03F037"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49E746AB" w14:textId="75959198"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488EEE67"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16596546"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7ABDBCCD"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6E343E3E"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19AC9C7A" w14:textId="77777777" w:rsidR="00E22D8E" w:rsidRPr="00C34611" w:rsidRDefault="00E22D8E" w:rsidP="00E22D8E">
      <w:pPr>
        <w:tabs>
          <w:tab w:val="left" w:leader="dot" w:pos="9746"/>
        </w:tabs>
        <w:jc w:val="both"/>
        <w:rPr>
          <w:rFonts w:ascii="Arial" w:hAnsi="Arial" w:cs="Arial"/>
        </w:rPr>
      </w:pPr>
      <w:r w:rsidRPr="00C34611">
        <w:rPr>
          <w:rFonts w:ascii="Arial" w:hAnsi="Arial" w:cs="Arial"/>
        </w:rPr>
        <w:tab/>
      </w:r>
    </w:p>
    <w:p w14:paraId="4DCE2A70" w14:textId="77777777" w:rsidR="006D18C2" w:rsidRPr="00C34611" w:rsidRDefault="006D18C2" w:rsidP="006D18C2">
      <w:pPr>
        <w:tabs>
          <w:tab w:val="left" w:pos="10080"/>
        </w:tabs>
        <w:spacing w:before="120" w:after="120"/>
        <w:jc w:val="both"/>
        <w:rPr>
          <w:rFonts w:ascii="Arial" w:eastAsia="Calibri" w:hAnsi="Arial" w:cs="Arial"/>
        </w:rPr>
      </w:pPr>
    </w:p>
    <w:p w14:paraId="793EED37" w14:textId="77777777" w:rsidR="006D18C2" w:rsidRPr="00C34611" w:rsidRDefault="006D18C2" w:rsidP="006D18C2">
      <w:pPr>
        <w:tabs>
          <w:tab w:val="left" w:leader="dot" w:pos="9746"/>
        </w:tabs>
        <w:jc w:val="both"/>
        <w:rPr>
          <w:rFonts w:ascii="Arial" w:hAnsi="Arial" w:cs="Arial"/>
          <w:b/>
          <w:u w:val="single"/>
        </w:rPr>
      </w:pPr>
    </w:p>
    <w:p w14:paraId="7E1F51B6" w14:textId="77777777" w:rsidR="006D18C2" w:rsidRPr="00C34611" w:rsidRDefault="006D18C2" w:rsidP="006D18C2">
      <w:pPr>
        <w:pBdr>
          <w:top w:val="single" w:sz="4" w:space="1" w:color="auto"/>
          <w:left w:val="single" w:sz="4" w:space="4" w:color="auto"/>
          <w:bottom w:val="single" w:sz="4" w:space="1" w:color="auto"/>
          <w:right w:val="single" w:sz="4" w:space="23" w:color="auto"/>
        </w:pBdr>
        <w:spacing w:line="276" w:lineRule="auto"/>
        <w:rPr>
          <w:rFonts w:ascii="Arial" w:hAnsi="Arial" w:cs="Arial"/>
          <w:iCs/>
        </w:rPr>
      </w:pPr>
      <w:r w:rsidRPr="00C34611">
        <w:rPr>
          <w:rFonts w:ascii="Arial" w:hAnsi="Arial" w:cs="Arial"/>
          <w:iCs/>
          <w:u w:val="single"/>
        </w:rPr>
        <w:t>Renvoi à des documents annexes le cas échéant</w:t>
      </w:r>
      <w:r w:rsidRPr="00C34611">
        <w:rPr>
          <w:rFonts w:ascii="Arial" w:hAnsi="Arial" w:cs="Arial"/>
          <w:iCs/>
        </w:rPr>
        <w:t xml:space="preserve"> :  </w:t>
      </w:r>
    </w:p>
    <w:p w14:paraId="128EA157" w14:textId="77777777" w:rsidR="006D18C2" w:rsidRPr="00C34611" w:rsidRDefault="006D18C2" w:rsidP="006D18C2">
      <w:pPr>
        <w:pBdr>
          <w:top w:val="single" w:sz="4" w:space="1" w:color="auto"/>
          <w:left w:val="single" w:sz="4" w:space="4" w:color="auto"/>
          <w:bottom w:val="single" w:sz="4" w:space="1" w:color="auto"/>
          <w:right w:val="single" w:sz="4" w:space="23" w:color="auto"/>
        </w:pBdr>
        <w:spacing w:line="276" w:lineRule="auto"/>
        <w:rPr>
          <w:rFonts w:ascii="Arial" w:hAnsi="Arial" w:cs="Arial"/>
          <w:iCs/>
        </w:rPr>
      </w:pPr>
      <w:r w:rsidRPr="00C34611">
        <w:rPr>
          <w:rFonts w:ascii="Arial" w:hAnsi="Arial" w:cs="Arial"/>
          <w:iCs/>
        </w:rPr>
        <w:t>- Intitulé précis des annexes :</w:t>
      </w:r>
    </w:p>
    <w:p w14:paraId="04D04194" w14:textId="77777777" w:rsidR="006D18C2" w:rsidRPr="00C34611" w:rsidRDefault="006D18C2" w:rsidP="006D18C2">
      <w:pPr>
        <w:pBdr>
          <w:top w:val="single" w:sz="4" w:space="1" w:color="auto"/>
          <w:left w:val="single" w:sz="4" w:space="4" w:color="auto"/>
          <w:bottom w:val="single" w:sz="4" w:space="1" w:color="auto"/>
          <w:right w:val="single" w:sz="4" w:space="23" w:color="auto"/>
        </w:pBdr>
        <w:spacing w:line="276" w:lineRule="auto"/>
        <w:rPr>
          <w:rFonts w:ascii="Arial" w:hAnsi="Arial" w:cs="Arial"/>
          <w:iCs/>
        </w:rPr>
      </w:pPr>
      <w:r w:rsidRPr="00C34611">
        <w:rPr>
          <w:rFonts w:ascii="Arial" w:hAnsi="Arial" w:cs="Arial"/>
          <w:iCs/>
        </w:rPr>
        <w:t>- Numéros de pages se rapportant exclusivement au présent sous-critère :</w:t>
      </w:r>
    </w:p>
    <w:p w14:paraId="73FA266D" w14:textId="44707C5E" w:rsidR="00E22D8E" w:rsidRPr="00C34611" w:rsidRDefault="006D18C2" w:rsidP="006D18C2">
      <w:pPr>
        <w:tabs>
          <w:tab w:val="left" w:pos="10080"/>
        </w:tabs>
        <w:spacing w:before="120" w:after="120"/>
        <w:jc w:val="both"/>
        <w:rPr>
          <w:rFonts w:ascii="Arial" w:eastAsia="Calibri" w:hAnsi="Arial" w:cs="Arial"/>
        </w:rPr>
      </w:pPr>
      <w:r w:rsidRPr="00C34611">
        <w:rPr>
          <w:rFonts w:ascii="Arial" w:hAnsi="Arial" w:cs="Arial"/>
          <w:b/>
          <w:iCs/>
          <w:u w:val="single"/>
        </w:rPr>
        <w:br w:type="page"/>
      </w:r>
    </w:p>
    <w:p w14:paraId="34BE0A31" w14:textId="1FE93339" w:rsidR="00E22D8E" w:rsidRPr="00C34611" w:rsidRDefault="00E22D8E" w:rsidP="00076827">
      <w:pPr>
        <w:tabs>
          <w:tab w:val="left" w:pos="10080"/>
        </w:tabs>
        <w:spacing w:before="120" w:after="120"/>
        <w:jc w:val="both"/>
        <w:rPr>
          <w:rFonts w:ascii="Arial" w:eastAsia="Calibri" w:hAnsi="Arial" w:cs="Arial"/>
        </w:rPr>
      </w:pPr>
    </w:p>
    <w:p w14:paraId="56F7E858" w14:textId="77777777" w:rsidR="006D18C2" w:rsidRPr="00C34611" w:rsidRDefault="006D18C2" w:rsidP="00076827">
      <w:pPr>
        <w:tabs>
          <w:tab w:val="left" w:pos="10080"/>
        </w:tabs>
        <w:spacing w:before="120" w:after="120"/>
        <w:jc w:val="both"/>
        <w:rPr>
          <w:rFonts w:ascii="Arial" w:eastAsia="Calibri" w:hAnsi="Arial" w:cs="Arial"/>
        </w:rPr>
      </w:pPr>
    </w:p>
    <w:p w14:paraId="331DB0D9" w14:textId="7FEC3C24" w:rsidR="00DC2787" w:rsidRPr="00C34611" w:rsidRDefault="00DC2787" w:rsidP="00076827">
      <w:pPr>
        <w:spacing w:before="120" w:after="120"/>
        <w:jc w:val="both"/>
        <w:rPr>
          <w:rFonts w:ascii="Arial" w:eastAsia="Arial Narrow" w:hAnsi="Arial" w:cs="Arial"/>
        </w:rPr>
      </w:pPr>
      <w:bookmarkStart w:id="3" w:name="_Hlk172808292"/>
      <w:r w:rsidRPr="00C34611">
        <w:rPr>
          <w:rFonts w:ascii="Arial" w:eastAsia="Arial Narrow" w:hAnsi="Arial" w:cs="Arial"/>
          <w:b/>
          <w:u w:val="single"/>
        </w:rPr>
        <w:t>Sous-critère 1.3</w:t>
      </w:r>
      <w:r w:rsidRPr="00C34611">
        <w:rPr>
          <w:rFonts w:ascii="Arial" w:eastAsia="Arial Narrow" w:hAnsi="Arial" w:cs="Arial"/>
          <w:b/>
        </w:rPr>
        <w:t> </w:t>
      </w:r>
      <w:r w:rsidR="00B13D28" w:rsidRPr="00C34611">
        <w:rPr>
          <w:rFonts w:ascii="Arial" w:eastAsia="Arial Narrow" w:hAnsi="Arial" w:cs="Arial"/>
          <w:b/>
        </w:rPr>
        <w:t xml:space="preserve">(20%) </w:t>
      </w:r>
      <w:r w:rsidRPr="00C34611">
        <w:rPr>
          <w:rFonts w:ascii="Arial" w:eastAsia="Arial Narrow" w:hAnsi="Arial" w:cs="Arial"/>
          <w:b/>
        </w:rPr>
        <w:t xml:space="preserve">: </w:t>
      </w:r>
      <w:r w:rsidR="00B13D28" w:rsidRPr="00C34611">
        <w:rPr>
          <w:rFonts w:ascii="Arial" w:hAnsi="Arial" w:cs="Arial"/>
          <w:b/>
          <w:bCs/>
          <w:color w:val="000000"/>
        </w:rPr>
        <w:t xml:space="preserve">délais </w:t>
      </w:r>
      <w:r w:rsidR="00B71600" w:rsidRPr="00C34611">
        <w:rPr>
          <w:rFonts w:ascii="Arial" w:hAnsi="Arial" w:cs="Arial"/>
          <w:b/>
          <w:bCs/>
          <w:color w:val="000000"/>
        </w:rPr>
        <w:t>(planning détaillé des différentes phases/missions des prestations</w:t>
      </w:r>
      <w:r w:rsidR="00B71600" w:rsidRPr="00C34611">
        <w:rPr>
          <w:rFonts w:ascii="Arial" w:eastAsia="Arial Narrow" w:hAnsi="Arial" w:cs="Arial"/>
          <w:b/>
        </w:rPr>
        <w:t xml:space="preserve"> </w:t>
      </w:r>
    </w:p>
    <w:bookmarkEnd w:id="3"/>
    <w:p w14:paraId="491DE9A3" w14:textId="110B025F" w:rsidR="00B13D28" w:rsidRPr="00C34611" w:rsidRDefault="00B13D28">
      <w:pPr>
        <w:spacing w:before="120" w:after="120"/>
        <w:rPr>
          <w:rFonts w:ascii="Arial" w:eastAsia="Times New Roman" w:hAnsi="Arial" w:cs="Arial"/>
          <w:iCs/>
        </w:rPr>
      </w:pPr>
      <w:r w:rsidRPr="00C34611">
        <w:rPr>
          <w:rFonts w:ascii="Arial" w:eastAsia="Arial Narrow" w:hAnsi="Arial" w:cs="Arial"/>
          <w:b/>
        </w:rPr>
        <w:t>Attendus de l’Institut Polytechnique de Paris</w:t>
      </w:r>
      <w:r w:rsidRPr="00C34611">
        <w:rPr>
          <w:rFonts w:ascii="Arial" w:eastAsia="Arial Narrow" w:hAnsi="Arial" w:cs="Arial"/>
          <w:bCs/>
        </w:rPr>
        <w:t> :</w:t>
      </w:r>
    </w:p>
    <w:p w14:paraId="14DFB802" w14:textId="37808F29" w:rsidR="008F0672" w:rsidRPr="00C34611" w:rsidRDefault="00B13D28" w:rsidP="00076827">
      <w:pPr>
        <w:tabs>
          <w:tab w:val="left" w:pos="10080"/>
        </w:tabs>
        <w:spacing w:before="120" w:after="120"/>
        <w:jc w:val="both"/>
        <w:rPr>
          <w:rFonts w:ascii="Arial" w:eastAsia="Times New Roman" w:hAnsi="Arial" w:cs="Arial"/>
        </w:rPr>
      </w:pPr>
      <w:r w:rsidRPr="00C34611">
        <w:rPr>
          <w:rFonts w:ascii="Arial" w:hAnsi="Arial" w:cs="Arial"/>
        </w:rPr>
        <w:t xml:space="preserve">→ </w:t>
      </w:r>
      <w:r w:rsidRPr="00C34611">
        <w:rPr>
          <w:rFonts w:ascii="Arial" w:eastAsia="Times New Roman" w:hAnsi="Arial" w:cs="Arial"/>
          <w:iCs/>
        </w:rPr>
        <w:t>Les délais proposés pour les différentes phases du projet devront être cohérents et permettre de re</w:t>
      </w:r>
      <w:r w:rsidR="008F0672" w:rsidRPr="00C34611">
        <w:rPr>
          <w:rFonts w:ascii="Arial" w:eastAsia="Times New Roman" w:hAnsi="Arial" w:cs="Arial"/>
          <w:iCs/>
        </w:rPr>
        <w:t xml:space="preserve">specter la durée estimative de la mission tout en </w:t>
      </w:r>
      <w:r w:rsidRPr="00C34611">
        <w:rPr>
          <w:rFonts w:ascii="Arial" w:eastAsia="Times New Roman" w:hAnsi="Arial" w:cs="Arial"/>
          <w:iCs/>
        </w:rPr>
        <w:t>assurant la fourniture des d</w:t>
      </w:r>
      <w:r w:rsidR="008F0672" w:rsidRPr="00C34611">
        <w:rPr>
          <w:rFonts w:ascii="Arial" w:eastAsia="Times New Roman" w:hAnsi="Arial" w:cs="Arial"/>
          <w:iCs/>
        </w:rPr>
        <w:t xml:space="preserve">ifférents livrables attendus. </w:t>
      </w:r>
    </w:p>
    <w:p w14:paraId="64ED8247" w14:textId="2F2410C5" w:rsidR="008F0672" w:rsidRPr="00C34611" w:rsidRDefault="00B13D28" w:rsidP="008F0672">
      <w:pPr>
        <w:tabs>
          <w:tab w:val="left" w:pos="10080"/>
        </w:tabs>
        <w:spacing w:before="120" w:after="120"/>
        <w:jc w:val="both"/>
        <w:rPr>
          <w:rFonts w:ascii="Arial" w:hAnsi="Arial" w:cs="Arial"/>
        </w:rPr>
      </w:pPr>
      <w:r w:rsidRPr="00C34611">
        <w:rPr>
          <w:rFonts w:ascii="Arial" w:hAnsi="Arial" w:cs="Arial"/>
        </w:rPr>
        <w:t xml:space="preserve">→ </w:t>
      </w:r>
      <w:r w:rsidR="008F0672" w:rsidRPr="00C34611">
        <w:rPr>
          <w:rFonts w:ascii="Arial" w:hAnsi="Arial" w:cs="Arial"/>
        </w:rPr>
        <w:t xml:space="preserve">Le prestataire </w:t>
      </w:r>
      <w:r w:rsidRPr="00C34611">
        <w:rPr>
          <w:rFonts w:ascii="Arial" w:hAnsi="Arial" w:cs="Arial"/>
        </w:rPr>
        <w:t xml:space="preserve">devra </w:t>
      </w:r>
      <w:r w:rsidR="008F0672" w:rsidRPr="00C34611">
        <w:rPr>
          <w:rFonts w:ascii="Arial" w:hAnsi="Arial" w:cs="Arial"/>
        </w:rPr>
        <w:t>propose</w:t>
      </w:r>
      <w:r w:rsidRPr="00C34611">
        <w:rPr>
          <w:rFonts w:ascii="Arial" w:hAnsi="Arial" w:cs="Arial"/>
        </w:rPr>
        <w:t>r</w:t>
      </w:r>
      <w:r w:rsidR="008F0672" w:rsidRPr="00C34611">
        <w:rPr>
          <w:rFonts w:ascii="Arial" w:hAnsi="Arial" w:cs="Arial"/>
        </w:rPr>
        <w:t xml:space="preserve"> une planification détaillée par phase, intégrant des points de contrôle à chaque jalon clé.</w:t>
      </w:r>
    </w:p>
    <w:p w14:paraId="1DF7DDD5" w14:textId="77777777" w:rsidR="006D18C2" w:rsidRPr="00C34611" w:rsidRDefault="006D18C2" w:rsidP="006D18C2">
      <w:pPr>
        <w:tabs>
          <w:tab w:val="left" w:leader="dot" w:pos="9746"/>
        </w:tabs>
        <w:jc w:val="both"/>
        <w:rPr>
          <w:rFonts w:ascii="Arial" w:hAnsi="Arial" w:cs="Arial"/>
        </w:rPr>
      </w:pPr>
      <w:r w:rsidRPr="00C34611">
        <w:rPr>
          <w:rFonts w:ascii="Arial" w:hAnsi="Arial" w:cs="Arial"/>
        </w:rPr>
        <w:tab/>
      </w:r>
    </w:p>
    <w:p w14:paraId="4906059A" w14:textId="77777777" w:rsidR="006D18C2" w:rsidRPr="00C34611" w:rsidRDefault="006D18C2" w:rsidP="006D18C2">
      <w:pPr>
        <w:tabs>
          <w:tab w:val="left" w:leader="dot" w:pos="9746"/>
        </w:tabs>
        <w:jc w:val="both"/>
        <w:rPr>
          <w:rFonts w:ascii="Arial" w:hAnsi="Arial" w:cs="Arial"/>
        </w:rPr>
      </w:pPr>
      <w:r w:rsidRPr="00C34611">
        <w:rPr>
          <w:rFonts w:ascii="Arial" w:hAnsi="Arial" w:cs="Arial"/>
        </w:rPr>
        <w:tab/>
      </w:r>
    </w:p>
    <w:p w14:paraId="0711BAE4" w14:textId="77777777" w:rsidR="006D18C2" w:rsidRPr="00C34611" w:rsidRDefault="006D18C2" w:rsidP="006D18C2">
      <w:pPr>
        <w:tabs>
          <w:tab w:val="left" w:leader="dot" w:pos="9746"/>
        </w:tabs>
        <w:jc w:val="both"/>
        <w:rPr>
          <w:rFonts w:ascii="Arial" w:hAnsi="Arial" w:cs="Arial"/>
        </w:rPr>
      </w:pPr>
      <w:r w:rsidRPr="00C34611">
        <w:rPr>
          <w:rFonts w:ascii="Arial" w:hAnsi="Arial" w:cs="Arial"/>
        </w:rPr>
        <w:tab/>
      </w:r>
    </w:p>
    <w:p w14:paraId="4E3B7D6A" w14:textId="77777777" w:rsidR="006D18C2" w:rsidRPr="00C34611" w:rsidRDefault="006D18C2" w:rsidP="006D18C2">
      <w:pPr>
        <w:tabs>
          <w:tab w:val="left" w:leader="dot" w:pos="9746"/>
        </w:tabs>
        <w:jc w:val="both"/>
        <w:rPr>
          <w:rFonts w:ascii="Arial" w:hAnsi="Arial" w:cs="Arial"/>
        </w:rPr>
      </w:pPr>
      <w:r w:rsidRPr="00C34611">
        <w:rPr>
          <w:rFonts w:ascii="Arial" w:hAnsi="Arial" w:cs="Arial"/>
        </w:rPr>
        <w:tab/>
      </w:r>
    </w:p>
    <w:p w14:paraId="5B473B60" w14:textId="77777777" w:rsidR="006D18C2" w:rsidRPr="00C34611" w:rsidRDefault="006D18C2" w:rsidP="006D18C2">
      <w:pPr>
        <w:tabs>
          <w:tab w:val="left" w:leader="dot" w:pos="9746"/>
        </w:tabs>
        <w:jc w:val="both"/>
        <w:rPr>
          <w:rFonts w:ascii="Arial" w:hAnsi="Arial" w:cs="Arial"/>
        </w:rPr>
      </w:pPr>
      <w:r w:rsidRPr="00C34611">
        <w:rPr>
          <w:rFonts w:ascii="Arial" w:hAnsi="Arial" w:cs="Arial"/>
        </w:rPr>
        <w:tab/>
      </w:r>
    </w:p>
    <w:p w14:paraId="56BDB2FB" w14:textId="77777777" w:rsidR="006D18C2" w:rsidRPr="00C34611" w:rsidRDefault="006D18C2" w:rsidP="006D18C2">
      <w:pPr>
        <w:tabs>
          <w:tab w:val="left" w:leader="dot" w:pos="9746"/>
        </w:tabs>
        <w:jc w:val="both"/>
        <w:rPr>
          <w:rFonts w:ascii="Arial" w:hAnsi="Arial" w:cs="Arial"/>
        </w:rPr>
      </w:pPr>
      <w:r w:rsidRPr="00C34611">
        <w:rPr>
          <w:rFonts w:ascii="Arial" w:hAnsi="Arial" w:cs="Arial"/>
        </w:rPr>
        <w:tab/>
      </w:r>
    </w:p>
    <w:p w14:paraId="4688309C" w14:textId="77777777" w:rsidR="006D18C2" w:rsidRPr="00C34611" w:rsidRDefault="006D18C2" w:rsidP="006D18C2">
      <w:pPr>
        <w:tabs>
          <w:tab w:val="left" w:leader="dot" w:pos="9746"/>
        </w:tabs>
        <w:jc w:val="both"/>
        <w:rPr>
          <w:rFonts w:ascii="Arial" w:hAnsi="Arial" w:cs="Arial"/>
        </w:rPr>
      </w:pPr>
      <w:r w:rsidRPr="00C34611">
        <w:rPr>
          <w:rFonts w:ascii="Arial" w:hAnsi="Arial" w:cs="Arial"/>
        </w:rPr>
        <w:tab/>
      </w:r>
    </w:p>
    <w:p w14:paraId="71BD99F3" w14:textId="77777777" w:rsidR="006D18C2" w:rsidRPr="00C34611" w:rsidRDefault="006D18C2" w:rsidP="006D18C2">
      <w:pPr>
        <w:tabs>
          <w:tab w:val="left" w:leader="dot" w:pos="9746"/>
        </w:tabs>
        <w:jc w:val="both"/>
        <w:rPr>
          <w:rFonts w:ascii="Arial" w:hAnsi="Arial" w:cs="Arial"/>
        </w:rPr>
      </w:pPr>
      <w:r w:rsidRPr="00C34611">
        <w:rPr>
          <w:rFonts w:ascii="Arial" w:hAnsi="Arial" w:cs="Arial"/>
        </w:rPr>
        <w:tab/>
      </w:r>
    </w:p>
    <w:p w14:paraId="11C7F1D9" w14:textId="77777777" w:rsidR="006D18C2" w:rsidRPr="00C34611" w:rsidRDefault="006D18C2" w:rsidP="006D18C2">
      <w:pPr>
        <w:tabs>
          <w:tab w:val="left" w:leader="dot" w:pos="9746"/>
        </w:tabs>
        <w:jc w:val="both"/>
        <w:rPr>
          <w:rFonts w:ascii="Arial" w:hAnsi="Arial" w:cs="Arial"/>
        </w:rPr>
      </w:pPr>
      <w:r w:rsidRPr="00C34611">
        <w:rPr>
          <w:rFonts w:ascii="Arial" w:hAnsi="Arial" w:cs="Arial"/>
        </w:rPr>
        <w:tab/>
      </w:r>
    </w:p>
    <w:p w14:paraId="3E95BAF8" w14:textId="77777777" w:rsidR="006D18C2" w:rsidRPr="00C34611" w:rsidRDefault="006D18C2" w:rsidP="006D18C2">
      <w:pPr>
        <w:tabs>
          <w:tab w:val="left" w:leader="dot" w:pos="9746"/>
        </w:tabs>
        <w:jc w:val="both"/>
        <w:rPr>
          <w:rFonts w:ascii="Arial" w:hAnsi="Arial" w:cs="Arial"/>
        </w:rPr>
      </w:pPr>
      <w:r w:rsidRPr="00C34611">
        <w:rPr>
          <w:rFonts w:ascii="Arial" w:hAnsi="Arial" w:cs="Arial"/>
        </w:rPr>
        <w:tab/>
      </w:r>
    </w:p>
    <w:p w14:paraId="11328B39" w14:textId="77777777" w:rsidR="006D18C2" w:rsidRPr="00C34611" w:rsidRDefault="006D18C2" w:rsidP="006D18C2">
      <w:pPr>
        <w:tabs>
          <w:tab w:val="left" w:leader="dot" w:pos="9746"/>
        </w:tabs>
        <w:jc w:val="both"/>
        <w:rPr>
          <w:rFonts w:ascii="Arial" w:hAnsi="Arial" w:cs="Arial"/>
        </w:rPr>
      </w:pPr>
      <w:r w:rsidRPr="00C34611">
        <w:rPr>
          <w:rFonts w:ascii="Arial" w:hAnsi="Arial" w:cs="Arial"/>
        </w:rPr>
        <w:tab/>
      </w:r>
    </w:p>
    <w:p w14:paraId="5B13B5FD" w14:textId="77777777" w:rsidR="006D18C2" w:rsidRPr="00C34611" w:rsidRDefault="006D18C2" w:rsidP="006D18C2">
      <w:pPr>
        <w:tabs>
          <w:tab w:val="left" w:leader="dot" w:pos="9746"/>
        </w:tabs>
        <w:jc w:val="both"/>
        <w:rPr>
          <w:rFonts w:ascii="Arial" w:hAnsi="Arial" w:cs="Arial"/>
        </w:rPr>
      </w:pPr>
      <w:r w:rsidRPr="00C34611">
        <w:rPr>
          <w:rFonts w:ascii="Arial" w:hAnsi="Arial" w:cs="Arial"/>
        </w:rPr>
        <w:tab/>
      </w:r>
    </w:p>
    <w:p w14:paraId="1E39922A" w14:textId="77777777" w:rsidR="006D18C2" w:rsidRPr="00C34611" w:rsidRDefault="006D18C2" w:rsidP="006D18C2">
      <w:pPr>
        <w:tabs>
          <w:tab w:val="left" w:leader="dot" w:pos="9746"/>
        </w:tabs>
        <w:jc w:val="both"/>
        <w:rPr>
          <w:rFonts w:ascii="Arial" w:hAnsi="Arial" w:cs="Arial"/>
        </w:rPr>
      </w:pPr>
      <w:r w:rsidRPr="00C34611">
        <w:rPr>
          <w:rFonts w:ascii="Arial" w:hAnsi="Arial" w:cs="Arial"/>
        </w:rPr>
        <w:tab/>
      </w:r>
    </w:p>
    <w:p w14:paraId="21A91446" w14:textId="77777777" w:rsidR="006D18C2" w:rsidRPr="00C34611" w:rsidRDefault="006D18C2" w:rsidP="006D18C2">
      <w:pPr>
        <w:tabs>
          <w:tab w:val="left" w:leader="dot" w:pos="9746"/>
        </w:tabs>
        <w:jc w:val="both"/>
        <w:rPr>
          <w:rFonts w:ascii="Arial" w:hAnsi="Arial" w:cs="Arial"/>
        </w:rPr>
      </w:pPr>
      <w:r w:rsidRPr="00C34611">
        <w:rPr>
          <w:rFonts w:ascii="Arial" w:hAnsi="Arial" w:cs="Arial"/>
        </w:rPr>
        <w:tab/>
      </w:r>
    </w:p>
    <w:p w14:paraId="6E7B920D" w14:textId="77777777" w:rsidR="006D18C2" w:rsidRPr="00C34611" w:rsidRDefault="006D18C2" w:rsidP="006D18C2">
      <w:pPr>
        <w:tabs>
          <w:tab w:val="left" w:leader="dot" w:pos="9746"/>
        </w:tabs>
        <w:jc w:val="both"/>
        <w:rPr>
          <w:rFonts w:ascii="Arial" w:hAnsi="Arial" w:cs="Arial"/>
        </w:rPr>
      </w:pPr>
      <w:r w:rsidRPr="00C34611">
        <w:rPr>
          <w:rFonts w:ascii="Arial" w:hAnsi="Arial" w:cs="Arial"/>
        </w:rPr>
        <w:tab/>
      </w:r>
    </w:p>
    <w:p w14:paraId="159EE7A6" w14:textId="77777777" w:rsidR="006D18C2" w:rsidRPr="00C34611" w:rsidRDefault="006D18C2" w:rsidP="006D18C2">
      <w:pPr>
        <w:tabs>
          <w:tab w:val="left" w:leader="dot" w:pos="9746"/>
        </w:tabs>
        <w:jc w:val="both"/>
        <w:rPr>
          <w:rFonts w:ascii="Arial" w:hAnsi="Arial" w:cs="Arial"/>
        </w:rPr>
      </w:pPr>
      <w:r w:rsidRPr="00C34611">
        <w:rPr>
          <w:rFonts w:ascii="Arial" w:hAnsi="Arial" w:cs="Arial"/>
        </w:rPr>
        <w:tab/>
      </w:r>
    </w:p>
    <w:p w14:paraId="0C298694" w14:textId="77777777" w:rsidR="006D18C2" w:rsidRPr="00C34611" w:rsidRDefault="006D18C2" w:rsidP="006D18C2">
      <w:pPr>
        <w:tabs>
          <w:tab w:val="left" w:leader="dot" w:pos="9746"/>
        </w:tabs>
        <w:jc w:val="both"/>
        <w:rPr>
          <w:rFonts w:ascii="Arial" w:hAnsi="Arial" w:cs="Arial"/>
        </w:rPr>
      </w:pPr>
      <w:r w:rsidRPr="00C34611">
        <w:rPr>
          <w:rFonts w:ascii="Arial" w:hAnsi="Arial" w:cs="Arial"/>
        </w:rPr>
        <w:tab/>
      </w:r>
    </w:p>
    <w:p w14:paraId="2A60056E" w14:textId="77777777" w:rsidR="006D18C2" w:rsidRPr="00C34611" w:rsidRDefault="006D18C2" w:rsidP="006D18C2">
      <w:pPr>
        <w:tabs>
          <w:tab w:val="left" w:pos="10080"/>
        </w:tabs>
        <w:spacing w:before="120" w:after="120"/>
        <w:jc w:val="both"/>
        <w:rPr>
          <w:rFonts w:ascii="Arial" w:eastAsia="Calibri" w:hAnsi="Arial" w:cs="Arial"/>
        </w:rPr>
      </w:pPr>
    </w:p>
    <w:p w14:paraId="40BD1A4A" w14:textId="77777777" w:rsidR="006D18C2" w:rsidRPr="00C34611" w:rsidRDefault="006D18C2" w:rsidP="006D18C2">
      <w:pPr>
        <w:tabs>
          <w:tab w:val="left" w:leader="dot" w:pos="9746"/>
        </w:tabs>
        <w:jc w:val="both"/>
        <w:rPr>
          <w:rFonts w:ascii="Arial" w:hAnsi="Arial" w:cs="Arial"/>
          <w:b/>
          <w:u w:val="single"/>
        </w:rPr>
      </w:pPr>
    </w:p>
    <w:p w14:paraId="31A64DBE" w14:textId="77777777" w:rsidR="006D18C2" w:rsidRPr="00C34611" w:rsidRDefault="006D18C2" w:rsidP="006D18C2">
      <w:pPr>
        <w:pBdr>
          <w:top w:val="single" w:sz="4" w:space="1" w:color="auto"/>
          <w:left w:val="single" w:sz="4" w:space="4" w:color="auto"/>
          <w:bottom w:val="single" w:sz="4" w:space="1" w:color="auto"/>
          <w:right w:val="single" w:sz="4" w:space="23" w:color="auto"/>
        </w:pBdr>
        <w:spacing w:line="276" w:lineRule="auto"/>
        <w:rPr>
          <w:rFonts w:ascii="Arial" w:hAnsi="Arial" w:cs="Arial"/>
          <w:iCs/>
        </w:rPr>
      </w:pPr>
      <w:r w:rsidRPr="00C34611">
        <w:rPr>
          <w:rFonts w:ascii="Arial" w:hAnsi="Arial" w:cs="Arial"/>
          <w:iCs/>
          <w:u w:val="single"/>
        </w:rPr>
        <w:t>Renvoi à des documents annexes le cas échéant</w:t>
      </w:r>
      <w:r w:rsidRPr="00C34611">
        <w:rPr>
          <w:rFonts w:ascii="Arial" w:hAnsi="Arial" w:cs="Arial"/>
          <w:iCs/>
        </w:rPr>
        <w:t xml:space="preserve"> :  </w:t>
      </w:r>
    </w:p>
    <w:p w14:paraId="54014917" w14:textId="77777777" w:rsidR="006D18C2" w:rsidRPr="00C34611" w:rsidRDefault="006D18C2" w:rsidP="006D18C2">
      <w:pPr>
        <w:pBdr>
          <w:top w:val="single" w:sz="4" w:space="1" w:color="auto"/>
          <w:left w:val="single" w:sz="4" w:space="4" w:color="auto"/>
          <w:bottom w:val="single" w:sz="4" w:space="1" w:color="auto"/>
          <w:right w:val="single" w:sz="4" w:space="23" w:color="auto"/>
        </w:pBdr>
        <w:spacing w:line="276" w:lineRule="auto"/>
        <w:rPr>
          <w:rFonts w:ascii="Arial" w:hAnsi="Arial" w:cs="Arial"/>
          <w:iCs/>
        </w:rPr>
      </w:pPr>
      <w:r w:rsidRPr="00C34611">
        <w:rPr>
          <w:rFonts w:ascii="Arial" w:hAnsi="Arial" w:cs="Arial"/>
          <w:iCs/>
        </w:rPr>
        <w:t>- Intitulé précis des annexes :</w:t>
      </w:r>
    </w:p>
    <w:p w14:paraId="505DD3BE" w14:textId="77777777" w:rsidR="006D18C2" w:rsidRPr="00C34611" w:rsidRDefault="006D18C2" w:rsidP="006D18C2">
      <w:pPr>
        <w:pBdr>
          <w:top w:val="single" w:sz="4" w:space="1" w:color="auto"/>
          <w:left w:val="single" w:sz="4" w:space="4" w:color="auto"/>
          <w:bottom w:val="single" w:sz="4" w:space="1" w:color="auto"/>
          <w:right w:val="single" w:sz="4" w:space="23" w:color="auto"/>
        </w:pBdr>
        <w:spacing w:line="276" w:lineRule="auto"/>
        <w:rPr>
          <w:rFonts w:ascii="Arial" w:hAnsi="Arial" w:cs="Arial"/>
          <w:iCs/>
        </w:rPr>
      </w:pPr>
      <w:r w:rsidRPr="00C34611">
        <w:rPr>
          <w:rFonts w:ascii="Arial" w:hAnsi="Arial" w:cs="Arial"/>
          <w:iCs/>
        </w:rPr>
        <w:t>- Numéros de pages se rapportant exclusivement au présent sous-critère :</w:t>
      </w:r>
    </w:p>
    <w:p w14:paraId="1AED5998" w14:textId="1E92DD69" w:rsidR="00E22D8E" w:rsidRPr="00C34611" w:rsidRDefault="00E22D8E" w:rsidP="00076827">
      <w:pPr>
        <w:widowControl w:val="0"/>
        <w:spacing w:before="120" w:after="120"/>
        <w:jc w:val="both"/>
        <w:rPr>
          <w:rFonts w:ascii="Arial" w:hAnsi="Arial" w:cs="Arial"/>
        </w:rPr>
      </w:pPr>
    </w:p>
    <w:p w14:paraId="0344B9AC" w14:textId="7E93BB9F" w:rsidR="00E22D8E" w:rsidRPr="00C34611" w:rsidRDefault="00E22D8E" w:rsidP="00076827">
      <w:pPr>
        <w:widowControl w:val="0"/>
        <w:spacing w:before="120" w:after="120"/>
        <w:jc w:val="both"/>
        <w:rPr>
          <w:rFonts w:ascii="Arial" w:hAnsi="Arial" w:cs="Arial"/>
        </w:rPr>
      </w:pPr>
    </w:p>
    <w:p w14:paraId="0491AF30" w14:textId="63FA888C" w:rsidR="00E22D8E" w:rsidRPr="00C34611" w:rsidRDefault="00E22D8E" w:rsidP="00076827">
      <w:pPr>
        <w:widowControl w:val="0"/>
        <w:spacing w:before="120" w:after="120"/>
        <w:jc w:val="both"/>
        <w:rPr>
          <w:rFonts w:ascii="Arial" w:hAnsi="Arial" w:cs="Arial"/>
        </w:rPr>
      </w:pPr>
    </w:p>
    <w:p w14:paraId="1D5540F9" w14:textId="6AAA4953" w:rsidR="00E22D8E" w:rsidRPr="00C34611" w:rsidRDefault="00E22D8E" w:rsidP="00076827">
      <w:pPr>
        <w:widowControl w:val="0"/>
        <w:spacing w:before="120" w:after="120"/>
        <w:jc w:val="both"/>
        <w:rPr>
          <w:rFonts w:ascii="Arial" w:hAnsi="Arial" w:cs="Arial"/>
        </w:rPr>
      </w:pPr>
    </w:p>
    <w:p w14:paraId="21CBF030" w14:textId="27CA1EA8" w:rsidR="00E22D8E" w:rsidRPr="00C34611" w:rsidRDefault="00E22D8E" w:rsidP="00076827">
      <w:pPr>
        <w:widowControl w:val="0"/>
        <w:spacing w:before="120" w:after="120"/>
        <w:jc w:val="both"/>
        <w:rPr>
          <w:rFonts w:ascii="Arial" w:hAnsi="Arial" w:cs="Arial"/>
        </w:rPr>
      </w:pPr>
    </w:p>
    <w:p w14:paraId="1006D5DF" w14:textId="71478062" w:rsidR="00E22D8E" w:rsidRPr="00C34611" w:rsidRDefault="00E22D8E" w:rsidP="00076827">
      <w:pPr>
        <w:widowControl w:val="0"/>
        <w:spacing w:before="120" w:after="120"/>
        <w:jc w:val="both"/>
        <w:rPr>
          <w:rFonts w:ascii="Arial" w:hAnsi="Arial" w:cs="Arial"/>
        </w:rPr>
      </w:pPr>
    </w:p>
    <w:p w14:paraId="5F152E87" w14:textId="4AA6E5DB" w:rsidR="00E22D8E" w:rsidRPr="00C34611" w:rsidRDefault="00E22D8E" w:rsidP="00076827">
      <w:pPr>
        <w:widowControl w:val="0"/>
        <w:spacing w:before="120" w:after="120"/>
        <w:jc w:val="both"/>
        <w:rPr>
          <w:rFonts w:ascii="Arial" w:hAnsi="Arial" w:cs="Arial"/>
        </w:rPr>
      </w:pPr>
    </w:p>
    <w:p w14:paraId="7FCCE336" w14:textId="72359AF5" w:rsidR="00E22D8E" w:rsidRPr="00C34611" w:rsidRDefault="00E22D8E" w:rsidP="00076827">
      <w:pPr>
        <w:widowControl w:val="0"/>
        <w:spacing w:before="120" w:after="120"/>
        <w:jc w:val="both"/>
        <w:rPr>
          <w:rFonts w:ascii="Arial" w:hAnsi="Arial" w:cs="Arial"/>
        </w:rPr>
      </w:pPr>
    </w:p>
    <w:p w14:paraId="0D868B17" w14:textId="7D929BFC" w:rsidR="00E22D8E" w:rsidRPr="00C34611" w:rsidRDefault="00E22D8E" w:rsidP="00076827">
      <w:pPr>
        <w:widowControl w:val="0"/>
        <w:spacing w:before="120" w:after="120"/>
        <w:jc w:val="both"/>
        <w:rPr>
          <w:rFonts w:ascii="Arial" w:hAnsi="Arial" w:cs="Arial"/>
        </w:rPr>
      </w:pPr>
    </w:p>
    <w:p w14:paraId="7C77204F" w14:textId="011F6A05" w:rsidR="00E22D8E" w:rsidRPr="00C34611" w:rsidRDefault="00E22D8E" w:rsidP="00076827">
      <w:pPr>
        <w:widowControl w:val="0"/>
        <w:spacing w:before="120" w:after="120"/>
        <w:jc w:val="both"/>
        <w:rPr>
          <w:rFonts w:ascii="Arial" w:hAnsi="Arial" w:cs="Arial"/>
        </w:rPr>
      </w:pPr>
    </w:p>
    <w:p w14:paraId="2D32E3E9" w14:textId="145E2DED" w:rsidR="00E22D8E" w:rsidRPr="00C34611" w:rsidRDefault="00E22D8E" w:rsidP="00076827">
      <w:pPr>
        <w:widowControl w:val="0"/>
        <w:spacing w:before="120" w:after="120"/>
        <w:jc w:val="both"/>
        <w:rPr>
          <w:rFonts w:ascii="Arial" w:hAnsi="Arial" w:cs="Arial"/>
        </w:rPr>
      </w:pPr>
    </w:p>
    <w:p w14:paraId="7C1498A0" w14:textId="3D302B2C" w:rsidR="00E22D8E" w:rsidRPr="00C34611" w:rsidRDefault="00E22D8E" w:rsidP="00076827">
      <w:pPr>
        <w:widowControl w:val="0"/>
        <w:spacing w:before="120" w:after="120"/>
        <w:jc w:val="both"/>
        <w:rPr>
          <w:rFonts w:ascii="Arial" w:hAnsi="Arial" w:cs="Arial"/>
        </w:rPr>
      </w:pPr>
    </w:p>
    <w:p w14:paraId="033D0435" w14:textId="77777777" w:rsidR="00E22D8E" w:rsidRPr="00C34611" w:rsidRDefault="00E22D8E" w:rsidP="00E22D8E">
      <w:pPr>
        <w:ind w:right="-569"/>
        <w:rPr>
          <w:rFonts w:ascii="Arial" w:hAnsi="Arial" w:cs="Arial"/>
          <w:b/>
          <w:iCs/>
          <w:u w:val="single"/>
        </w:rPr>
      </w:pPr>
      <w:proofErr w:type="gramStart"/>
      <w:r w:rsidRPr="00C34611">
        <w:rPr>
          <w:rFonts w:ascii="Arial" w:hAnsi="Arial" w:cs="Arial"/>
          <w:b/>
          <w:iCs/>
          <w:u w:val="single"/>
        </w:rPr>
        <w:t>Fait le</w:t>
      </w:r>
      <w:proofErr w:type="gramEnd"/>
      <w:r w:rsidRPr="00C34611">
        <w:rPr>
          <w:rFonts w:ascii="Arial" w:hAnsi="Arial" w:cs="Arial"/>
          <w:b/>
          <w:iCs/>
          <w:u w:val="single"/>
        </w:rPr>
        <w:t xml:space="preserve"> _______________________________à_____________________________</w:t>
      </w:r>
    </w:p>
    <w:p w14:paraId="56D720D2" w14:textId="77777777" w:rsidR="00E22D8E" w:rsidRPr="00C34611" w:rsidRDefault="00E22D8E" w:rsidP="00E22D8E">
      <w:pPr>
        <w:ind w:right="-569"/>
        <w:rPr>
          <w:rFonts w:ascii="Arial" w:hAnsi="Arial" w:cs="Arial"/>
          <w:b/>
          <w:iCs/>
          <w:u w:val="single"/>
        </w:rPr>
      </w:pPr>
      <w:r w:rsidRPr="00C34611">
        <w:rPr>
          <w:rFonts w:ascii="Arial" w:hAnsi="Arial" w:cs="Arial"/>
          <w:b/>
          <w:iCs/>
          <w:u w:val="single"/>
        </w:rPr>
        <w:t xml:space="preserve">   </w:t>
      </w:r>
    </w:p>
    <w:p w14:paraId="161301A5" w14:textId="77777777" w:rsidR="00E22D8E" w:rsidRPr="00C34611" w:rsidRDefault="00E22D8E" w:rsidP="00E22D8E">
      <w:pPr>
        <w:ind w:right="-569"/>
        <w:rPr>
          <w:rFonts w:ascii="Arial" w:hAnsi="Arial" w:cs="Arial"/>
          <w:b/>
        </w:rPr>
      </w:pPr>
      <w:r w:rsidRPr="00C34611">
        <w:rPr>
          <w:rFonts w:ascii="Arial" w:hAnsi="Arial" w:cs="Arial"/>
          <w:b/>
          <w:iCs/>
          <w:u w:val="single"/>
        </w:rPr>
        <w:t>Signature et cachet de l’entreprise :</w:t>
      </w:r>
    </w:p>
    <w:p w14:paraId="7BF50E92" w14:textId="77777777" w:rsidR="00E22D8E" w:rsidRPr="00C34611" w:rsidRDefault="00E22D8E" w:rsidP="00076827">
      <w:pPr>
        <w:widowControl w:val="0"/>
        <w:spacing w:before="120" w:after="120"/>
        <w:jc w:val="both"/>
        <w:rPr>
          <w:rFonts w:ascii="Arial" w:hAnsi="Arial" w:cs="Arial"/>
        </w:rPr>
      </w:pPr>
    </w:p>
    <w:sectPr w:rsidR="00E22D8E" w:rsidRPr="00C34611">
      <w:type w:val="continuous"/>
      <w:pgSz w:w="11906" w:h="16838"/>
      <w:pgMar w:top="992" w:right="1418" w:bottom="709" w:left="1418" w:header="720" w:footer="448"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D733631" w16cex:dateUtc="2025-04-23T07: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06C2D5" w14:textId="77777777" w:rsidR="0018418A" w:rsidRDefault="0018418A">
      <w:r>
        <w:separator/>
      </w:r>
    </w:p>
  </w:endnote>
  <w:endnote w:type="continuationSeparator" w:id="0">
    <w:p w14:paraId="7D70C5F6" w14:textId="77777777" w:rsidR="0018418A" w:rsidRDefault="00184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C77E2" w14:textId="77777777" w:rsidR="007D4774" w:rsidRDefault="00823AD6">
    <w:pPr>
      <w:pBdr>
        <w:top w:val="nil"/>
        <w:left w:val="nil"/>
        <w:bottom w:val="nil"/>
        <w:right w:val="nil"/>
        <w:between w:val="nil"/>
      </w:pBdr>
      <w:jc w:val="right"/>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fldChar w:fldCharType="begin"/>
    </w:r>
    <w:r>
      <w:rPr>
        <w:rFonts w:ascii="Arial Narrow" w:eastAsia="Arial Narrow" w:hAnsi="Arial Narrow" w:cs="Arial Narrow"/>
        <w:color w:val="000000"/>
        <w:sz w:val="20"/>
        <w:szCs w:val="20"/>
      </w:rPr>
      <w:instrText>PAGE</w:instrText>
    </w:r>
    <w:r>
      <w:rPr>
        <w:rFonts w:ascii="Arial Narrow" w:eastAsia="Arial Narrow" w:hAnsi="Arial Narrow" w:cs="Arial Narrow"/>
        <w:color w:val="000000"/>
        <w:sz w:val="20"/>
        <w:szCs w:val="20"/>
      </w:rPr>
      <w:fldChar w:fldCharType="separate"/>
    </w:r>
    <w:r w:rsidR="00AB3E25">
      <w:rPr>
        <w:rFonts w:ascii="Arial Narrow" w:eastAsia="Arial Narrow" w:hAnsi="Arial Narrow" w:cs="Arial Narrow"/>
        <w:noProof/>
        <w:color w:val="000000"/>
        <w:sz w:val="20"/>
        <w:szCs w:val="20"/>
      </w:rPr>
      <w:t>2</w:t>
    </w:r>
    <w:r>
      <w:rPr>
        <w:rFonts w:ascii="Arial Narrow" w:eastAsia="Arial Narrow" w:hAnsi="Arial Narrow" w:cs="Arial Narrow"/>
        <w:color w:val="000000"/>
        <w:sz w:val="20"/>
        <w:szCs w:val="20"/>
      </w:rPr>
      <w:fldChar w:fldCharType="end"/>
    </w:r>
    <w:r>
      <w:rPr>
        <w:rFonts w:ascii="Arial Narrow" w:eastAsia="Arial Narrow" w:hAnsi="Arial Narrow" w:cs="Arial Narrow"/>
        <w:color w:val="000000"/>
        <w:sz w:val="20"/>
        <w:szCs w:val="20"/>
      </w:rPr>
      <w:t>/</w:t>
    </w:r>
    <w:r>
      <w:rPr>
        <w:rFonts w:ascii="Arial Narrow" w:eastAsia="Arial Narrow" w:hAnsi="Arial Narrow" w:cs="Arial Narrow"/>
        <w:color w:val="000000"/>
        <w:sz w:val="20"/>
        <w:szCs w:val="20"/>
      </w:rPr>
      <w:fldChar w:fldCharType="begin"/>
    </w:r>
    <w:r>
      <w:rPr>
        <w:rFonts w:ascii="Arial Narrow" w:eastAsia="Arial Narrow" w:hAnsi="Arial Narrow" w:cs="Arial Narrow"/>
        <w:color w:val="000000"/>
        <w:sz w:val="20"/>
        <w:szCs w:val="20"/>
      </w:rPr>
      <w:instrText>NUMPAGES</w:instrText>
    </w:r>
    <w:r>
      <w:rPr>
        <w:rFonts w:ascii="Arial Narrow" w:eastAsia="Arial Narrow" w:hAnsi="Arial Narrow" w:cs="Arial Narrow"/>
        <w:color w:val="000000"/>
        <w:sz w:val="20"/>
        <w:szCs w:val="20"/>
      </w:rPr>
      <w:fldChar w:fldCharType="separate"/>
    </w:r>
    <w:r w:rsidR="00AB3E25">
      <w:rPr>
        <w:rFonts w:ascii="Arial Narrow" w:eastAsia="Arial Narrow" w:hAnsi="Arial Narrow" w:cs="Arial Narrow"/>
        <w:noProof/>
        <w:color w:val="000000"/>
        <w:sz w:val="20"/>
        <w:szCs w:val="20"/>
      </w:rPr>
      <w:t>2</w:t>
    </w:r>
    <w:r>
      <w:rPr>
        <w:rFonts w:ascii="Arial Narrow" w:eastAsia="Arial Narrow" w:hAnsi="Arial Narrow" w:cs="Arial Narrow"/>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9729F" w14:textId="77777777" w:rsidR="0018418A" w:rsidRDefault="0018418A">
      <w:r>
        <w:separator/>
      </w:r>
    </w:p>
  </w:footnote>
  <w:footnote w:type="continuationSeparator" w:id="0">
    <w:p w14:paraId="22403995" w14:textId="77777777" w:rsidR="0018418A" w:rsidRDefault="001841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80363"/>
    <w:multiLevelType w:val="multilevel"/>
    <w:tmpl w:val="5B9E113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84A3806"/>
    <w:multiLevelType w:val="hybridMultilevel"/>
    <w:tmpl w:val="9EEC7572"/>
    <w:lvl w:ilvl="0" w:tplc="26B2F4C0">
      <w:start w:val="1"/>
      <w:numFmt w:val="bullet"/>
      <w:lvlText w:val=""/>
      <w:lvlJc w:val="left"/>
      <w:pPr>
        <w:ind w:left="720" w:hanging="360"/>
      </w:pPr>
      <w:rPr>
        <w:rFonts w:ascii="Symbol" w:hAnsi="Symbol" w:hint="default"/>
        <w:color w:val="000000" w:themeColor="text1"/>
      </w:rPr>
    </w:lvl>
    <w:lvl w:ilvl="1" w:tplc="E79C108C">
      <w:start w:val="1"/>
      <w:numFmt w:val="bullet"/>
      <w:lvlText w:val="­"/>
      <w:lvlJc w:val="left"/>
      <w:pPr>
        <w:ind w:left="1017" w:hanging="360"/>
      </w:pPr>
      <w:rPr>
        <w:rFonts w:ascii="Courier New" w:hAnsi="Courier New" w:hint="default"/>
        <w:sz w:val="18"/>
        <w:szCs w:val="18"/>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CE5FC9"/>
    <w:multiLevelType w:val="hybridMultilevel"/>
    <w:tmpl w:val="B6706F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BF0CA3"/>
    <w:multiLevelType w:val="hybridMultilevel"/>
    <w:tmpl w:val="474EFD02"/>
    <w:lvl w:ilvl="0" w:tplc="36E67EBA">
      <w:start w:val="20"/>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066206"/>
    <w:multiLevelType w:val="hybridMultilevel"/>
    <w:tmpl w:val="A978079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0C7170"/>
    <w:multiLevelType w:val="multilevel"/>
    <w:tmpl w:val="0AC80848"/>
    <w:lvl w:ilvl="0">
      <w:start w:val="1"/>
      <w:numFmt w:val="decimal"/>
      <w:lvlText w:val="%1."/>
      <w:lvlJc w:val="left"/>
      <w:pPr>
        <w:tabs>
          <w:tab w:val="num" w:pos="720"/>
        </w:tabs>
        <w:ind w:left="720" w:hanging="360"/>
      </w:pPr>
    </w:lvl>
    <w:lvl w:ilvl="1">
      <w:start w:val="6"/>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2621E7"/>
    <w:multiLevelType w:val="hybridMultilevel"/>
    <w:tmpl w:val="9A1243FA"/>
    <w:lvl w:ilvl="0" w:tplc="A9BE6192">
      <w:start w:val="2019"/>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D30E5E"/>
    <w:multiLevelType w:val="hybridMultilevel"/>
    <w:tmpl w:val="7CB836A2"/>
    <w:lvl w:ilvl="0" w:tplc="F162C678">
      <w:start w:val="4"/>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92323B"/>
    <w:multiLevelType w:val="hybridMultilevel"/>
    <w:tmpl w:val="D1AC46EC"/>
    <w:lvl w:ilvl="0" w:tplc="A3CC37FA">
      <w:start w:val="4"/>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1D2CD7"/>
    <w:multiLevelType w:val="hybridMultilevel"/>
    <w:tmpl w:val="39B2E7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273E3B"/>
    <w:multiLevelType w:val="multilevel"/>
    <w:tmpl w:val="2E5494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35E42EB2"/>
    <w:multiLevelType w:val="multilevel"/>
    <w:tmpl w:val="185012E4"/>
    <w:lvl w:ilvl="0">
      <w:start w:val="1"/>
      <w:numFmt w:val="bullet"/>
      <w:lvlText w:val="➢"/>
      <w:lvlJc w:val="left"/>
      <w:pPr>
        <w:ind w:left="294" w:hanging="360"/>
      </w:pPr>
      <w:rPr>
        <w:rFonts w:ascii="Noto Sans Symbols" w:eastAsia="Noto Sans Symbols" w:hAnsi="Noto Sans Symbols" w:cs="Noto Sans Symbols"/>
        <w:vertAlign w:val="baseline"/>
      </w:rPr>
    </w:lvl>
    <w:lvl w:ilvl="1">
      <w:start w:val="1"/>
      <w:numFmt w:val="bullet"/>
      <w:lvlText w:val="o"/>
      <w:lvlJc w:val="left"/>
      <w:pPr>
        <w:ind w:left="1014" w:hanging="360"/>
      </w:pPr>
      <w:rPr>
        <w:rFonts w:ascii="Courier New" w:eastAsia="Courier New" w:hAnsi="Courier New" w:cs="Courier New"/>
        <w:vertAlign w:val="baseline"/>
      </w:rPr>
    </w:lvl>
    <w:lvl w:ilvl="2">
      <w:start w:val="1"/>
      <w:numFmt w:val="bullet"/>
      <w:lvlText w:val="▪"/>
      <w:lvlJc w:val="left"/>
      <w:pPr>
        <w:ind w:left="1734" w:hanging="360"/>
      </w:pPr>
      <w:rPr>
        <w:rFonts w:ascii="Noto Sans Symbols" w:eastAsia="Noto Sans Symbols" w:hAnsi="Noto Sans Symbols" w:cs="Noto Sans Symbols"/>
        <w:vertAlign w:val="baseline"/>
      </w:rPr>
    </w:lvl>
    <w:lvl w:ilvl="3">
      <w:start w:val="1"/>
      <w:numFmt w:val="bullet"/>
      <w:lvlText w:val="●"/>
      <w:lvlJc w:val="left"/>
      <w:pPr>
        <w:ind w:left="2454" w:hanging="360"/>
      </w:pPr>
      <w:rPr>
        <w:rFonts w:ascii="Noto Sans Symbols" w:eastAsia="Noto Sans Symbols" w:hAnsi="Noto Sans Symbols" w:cs="Noto Sans Symbols"/>
        <w:vertAlign w:val="baseline"/>
      </w:rPr>
    </w:lvl>
    <w:lvl w:ilvl="4">
      <w:start w:val="1"/>
      <w:numFmt w:val="bullet"/>
      <w:lvlText w:val="o"/>
      <w:lvlJc w:val="left"/>
      <w:pPr>
        <w:ind w:left="3174" w:hanging="360"/>
      </w:pPr>
      <w:rPr>
        <w:rFonts w:ascii="Courier New" w:eastAsia="Courier New" w:hAnsi="Courier New" w:cs="Courier New"/>
        <w:vertAlign w:val="baseline"/>
      </w:rPr>
    </w:lvl>
    <w:lvl w:ilvl="5">
      <w:start w:val="1"/>
      <w:numFmt w:val="bullet"/>
      <w:lvlText w:val="▪"/>
      <w:lvlJc w:val="left"/>
      <w:pPr>
        <w:ind w:left="3894" w:hanging="360"/>
      </w:pPr>
      <w:rPr>
        <w:rFonts w:ascii="Noto Sans Symbols" w:eastAsia="Noto Sans Symbols" w:hAnsi="Noto Sans Symbols" w:cs="Noto Sans Symbols"/>
        <w:vertAlign w:val="baseline"/>
      </w:rPr>
    </w:lvl>
    <w:lvl w:ilvl="6">
      <w:start w:val="1"/>
      <w:numFmt w:val="bullet"/>
      <w:lvlText w:val="●"/>
      <w:lvlJc w:val="left"/>
      <w:pPr>
        <w:ind w:left="4614" w:hanging="360"/>
      </w:pPr>
      <w:rPr>
        <w:rFonts w:ascii="Noto Sans Symbols" w:eastAsia="Noto Sans Symbols" w:hAnsi="Noto Sans Symbols" w:cs="Noto Sans Symbols"/>
        <w:vertAlign w:val="baseline"/>
      </w:rPr>
    </w:lvl>
    <w:lvl w:ilvl="7">
      <w:start w:val="1"/>
      <w:numFmt w:val="bullet"/>
      <w:lvlText w:val="o"/>
      <w:lvlJc w:val="left"/>
      <w:pPr>
        <w:ind w:left="5334" w:hanging="360"/>
      </w:pPr>
      <w:rPr>
        <w:rFonts w:ascii="Courier New" w:eastAsia="Courier New" w:hAnsi="Courier New" w:cs="Courier New"/>
        <w:vertAlign w:val="baseline"/>
      </w:rPr>
    </w:lvl>
    <w:lvl w:ilvl="8">
      <w:start w:val="1"/>
      <w:numFmt w:val="bullet"/>
      <w:lvlText w:val="▪"/>
      <w:lvlJc w:val="left"/>
      <w:pPr>
        <w:ind w:left="6054" w:hanging="360"/>
      </w:pPr>
      <w:rPr>
        <w:rFonts w:ascii="Noto Sans Symbols" w:eastAsia="Noto Sans Symbols" w:hAnsi="Noto Sans Symbols" w:cs="Noto Sans Symbols"/>
        <w:vertAlign w:val="baseline"/>
      </w:rPr>
    </w:lvl>
  </w:abstractNum>
  <w:abstractNum w:abstractNumId="12" w15:restartNumberingAfterBreak="0">
    <w:nsid w:val="397C7CD4"/>
    <w:multiLevelType w:val="hybridMultilevel"/>
    <w:tmpl w:val="061CBC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2F6A65"/>
    <w:multiLevelType w:val="hybridMultilevel"/>
    <w:tmpl w:val="FF06350A"/>
    <w:lvl w:ilvl="0" w:tplc="E79C108C">
      <w:start w:val="1"/>
      <w:numFmt w:val="bullet"/>
      <w:lvlText w:val="­"/>
      <w:lvlJc w:val="left"/>
      <w:pPr>
        <w:ind w:left="360" w:hanging="360"/>
      </w:pPr>
      <w:rPr>
        <w:rFonts w:ascii="Courier New" w:hAnsi="Courier New" w:hint="default"/>
        <w:sz w:val="18"/>
        <w:szCs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ABF78E2"/>
    <w:multiLevelType w:val="hybridMultilevel"/>
    <w:tmpl w:val="7254A4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A30B47"/>
    <w:multiLevelType w:val="multilevel"/>
    <w:tmpl w:val="CD8E7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A84AF1"/>
    <w:multiLevelType w:val="multilevel"/>
    <w:tmpl w:val="73308D40"/>
    <w:lvl w:ilvl="0">
      <w:start w:val="1"/>
      <w:numFmt w:val="decimal"/>
      <w:lvlText w:val="%1."/>
      <w:lvlJc w:val="left"/>
      <w:pPr>
        <w:tabs>
          <w:tab w:val="num" w:pos="720"/>
        </w:tabs>
        <w:ind w:left="720" w:hanging="360"/>
      </w:pPr>
    </w:lvl>
    <w:lvl w:ilvl="1">
      <w:start w:val="6"/>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C32D40"/>
    <w:multiLevelType w:val="hybridMultilevel"/>
    <w:tmpl w:val="C8121926"/>
    <w:lvl w:ilvl="0" w:tplc="2124C512">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2752DB"/>
    <w:multiLevelType w:val="multilevel"/>
    <w:tmpl w:val="C82A6E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E352788"/>
    <w:multiLevelType w:val="hybridMultilevel"/>
    <w:tmpl w:val="6CFC7E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736D763B"/>
    <w:multiLevelType w:val="hybridMultilevel"/>
    <w:tmpl w:val="518A8DA0"/>
    <w:lvl w:ilvl="0" w:tplc="E79C108C">
      <w:start w:val="1"/>
      <w:numFmt w:val="bullet"/>
      <w:lvlText w:val="­"/>
      <w:lvlJc w:val="left"/>
      <w:pPr>
        <w:ind w:left="1017" w:hanging="360"/>
      </w:pPr>
      <w:rPr>
        <w:rFonts w:ascii="Courier New" w:hAnsi="Courier New" w:hint="default"/>
        <w:sz w:val="18"/>
        <w:szCs w:val="18"/>
      </w:rPr>
    </w:lvl>
    <w:lvl w:ilvl="1" w:tplc="040C0003">
      <w:start w:val="1"/>
      <w:numFmt w:val="bullet"/>
      <w:lvlText w:val="o"/>
      <w:lvlJc w:val="left"/>
      <w:pPr>
        <w:ind w:left="1737" w:hanging="360"/>
      </w:pPr>
      <w:rPr>
        <w:rFonts w:ascii="Courier New" w:hAnsi="Courier New" w:cs="Courier New" w:hint="default"/>
      </w:rPr>
    </w:lvl>
    <w:lvl w:ilvl="2" w:tplc="040C0005" w:tentative="1">
      <w:start w:val="1"/>
      <w:numFmt w:val="bullet"/>
      <w:lvlText w:val=""/>
      <w:lvlJc w:val="left"/>
      <w:pPr>
        <w:ind w:left="2457" w:hanging="360"/>
      </w:pPr>
      <w:rPr>
        <w:rFonts w:ascii="Wingdings" w:hAnsi="Wingdings" w:hint="default"/>
      </w:rPr>
    </w:lvl>
    <w:lvl w:ilvl="3" w:tplc="040C0001" w:tentative="1">
      <w:start w:val="1"/>
      <w:numFmt w:val="bullet"/>
      <w:lvlText w:val=""/>
      <w:lvlJc w:val="left"/>
      <w:pPr>
        <w:ind w:left="3177" w:hanging="360"/>
      </w:pPr>
      <w:rPr>
        <w:rFonts w:ascii="Symbol" w:hAnsi="Symbol" w:hint="default"/>
      </w:rPr>
    </w:lvl>
    <w:lvl w:ilvl="4" w:tplc="040C0003" w:tentative="1">
      <w:start w:val="1"/>
      <w:numFmt w:val="bullet"/>
      <w:lvlText w:val="o"/>
      <w:lvlJc w:val="left"/>
      <w:pPr>
        <w:ind w:left="3897" w:hanging="360"/>
      </w:pPr>
      <w:rPr>
        <w:rFonts w:ascii="Courier New" w:hAnsi="Courier New" w:cs="Courier New" w:hint="default"/>
      </w:rPr>
    </w:lvl>
    <w:lvl w:ilvl="5" w:tplc="040C0005" w:tentative="1">
      <w:start w:val="1"/>
      <w:numFmt w:val="bullet"/>
      <w:lvlText w:val=""/>
      <w:lvlJc w:val="left"/>
      <w:pPr>
        <w:ind w:left="4617" w:hanging="360"/>
      </w:pPr>
      <w:rPr>
        <w:rFonts w:ascii="Wingdings" w:hAnsi="Wingdings" w:hint="default"/>
      </w:rPr>
    </w:lvl>
    <w:lvl w:ilvl="6" w:tplc="040C0001" w:tentative="1">
      <w:start w:val="1"/>
      <w:numFmt w:val="bullet"/>
      <w:lvlText w:val=""/>
      <w:lvlJc w:val="left"/>
      <w:pPr>
        <w:ind w:left="5337" w:hanging="360"/>
      </w:pPr>
      <w:rPr>
        <w:rFonts w:ascii="Symbol" w:hAnsi="Symbol" w:hint="default"/>
      </w:rPr>
    </w:lvl>
    <w:lvl w:ilvl="7" w:tplc="040C0003" w:tentative="1">
      <w:start w:val="1"/>
      <w:numFmt w:val="bullet"/>
      <w:lvlText w:val="o"/>
      <w:lvlJc w:val="left"/>
      <w:pPr>
        <w:ind w:left="6057" w:hanging="360"/>
      </w:pPr>
      <w:rPr>
        <w:rFonts w:ascii="Courier New" w:hAnsi="Courier New" w:cs="Courier New" w:hint="default"/>
      </w:rPr>
    </w:lvl>
    <w:lvl w:ilvl="8" w:tplc="040C0005" w:tentative="1">
      <w:start w:val="1"/>
      <w:numFmt w:val="bullet"/>
      <w:lvlText w:val=""/>
      <w:lvlJc w:val="left"/>
      <w:pPr>
        <w:ind w:left="6777" w:hanging="360"/>
      </w:pPr>
      <w:rPr>
        <w:rFonts w:ascii="Wingdings" w:hAnsi="Wingdings" w:hint="default"/>
      </w:rPr>
    </w:lvl>
  </w:abstractNum>
  <w:abstractNum w:abstractNumId="21" w15:restartNumberingAfterBreak="0">
    <w:nsid w:val="7F5E0FCD"/>
    <w:multiLevelType w:val="multilevel"/>
    <w:tmpl w:val="C90EB6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1"/>
  </w:num>
  <w:num w:numId="2">
    <w:abstractNumId w:val="10"/>
  </w:num>
  <w:num w:numId="3">
    <w:abstractNumId w:val="11"/>
  </w:num>
  <w:num w:numId="4">
    <w:abstractNumId w:val="0"/>
  </w:num>
  <w:num w:numId="5">
    <w:abstractNumId w:val="6"/>
  </w:num>
  <w:num w:numId="6">
    <w:abstractNumId w:val="17"/>
  </w:num>
  <w:num w:numId="7">
    <w:abstractNumId w:val="12"/>
  </w:num>
  <w:num w:numId="8">
    <w:abstractNumId w:val="3"/>
  </w:num>
  <w:num w:numId="9">
    <w:abstractNumId w:val="8"/>
  </w:num>
  <w:num w:numId="10">
    <w:abstractNumId w:val="7"/>
  </w:num>
  <w:num w:numId="11">
    <w:abstractNumId w:val="2"/>
  </w:num>
  <w:num w:numId="12">
    <w:abstractNumId w:val="14"/>
  </w:num>
  <w:num w:numId="13">
    <w:abstractNumId w:val="4"/>
  </w:num>
  <w:num w:numId="14">
    <w:abstractNumId w:val="19"/>
  </w:num>
  <w:num w:numId="15">
    <w:abstractNumId w:val="1"/>
  </w:num>
  <w:num w:numId="16">
    <w:abstractNumId w:val="20"/>
  </w:num>
  <w:num w:numId="17">
    <w:abstractNumId w:val="9"/>
  </w:num>
  <w:num w:numId="18">
    <w:abstractNumId w:val="13"/>
  </w:num>
  <w:num w:numId="19">
    <w:abstractNumId w:val="18"/>
  </w:num>
  <w:num w:numId="20">
    <w:abstractNumId w:val="5"/>
  </w:num>
  <w:num w:numId="21">
    <w:abstractNumId w:val="1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774"/>
    <w:rsid w:val="00015C9B"/>
    <w:rsid w:val="00046AF7"/>
    <w:rsid w:val="000516ED"/>
    <w:rsid w:val="00076827"/>
    <w:rsid w:val="000A1D92"/>
    <w:rsid w:val="000B00C3"/>
    <w:rsid w:val="000B46E5"/>
    <w:rsid w:val="00102E86"/>
    <w:rsid w:val="00105700"/>
    <w:rsid w:val="00112430"/>
    <w:rsid w:val="0014559F"/>
    <w:rsid w:val="00152035"/>
    <w:rsid w:val="0018418A"/>
    <w:rsid w:val="00192C3B"/>
    <w:rsid w:val="001F647C"/>
    <w:rsid w:val="00257C88"/>
    <w:rsid w:val="00273BC3"/>
    <w:rsid w:val="002900D1"/>
    <w:rsid w:val="002C5C4E"/>
    <w:rsid w:val="003019E8"/>
    <w:rsid w:val="00332991"/>
    <w:rsid w:val="00370FA9"/>
    <w:rsid w:val="00380B4A"/>
    <w:rsid w:val="00390754"/>
    <w:rsid w:val="00392247"/>
    <w:rsid w:val="00397742"/>
    <w:rsid w:val="003A2CD8"/>
    <w:rsid w:val="003B10F8"/>
    <w:rsid w:val="003B43FE"/>
    <w:rsid w:val="003C5293"/>
    <w:rsid w:val="003D7496"/>
    <w:rsid w:val="003F315E"/>
    <w:rsid w:val="00407F90"/>
    <w:rsid w:val="004123F9"/>
    <w:rsid w:val="00423EB5"/>
    <w:rsid w:val="0043790E"/>
    <w:rsid w:val="00456350"/>
    <w:rsid w:val="00473E04"/>
    <w:rsid w:val="004851F0"/>
    <w:rsid w:val="004D52DF"/>
    <w:rsid w:val="004F79C3"/>
    <w:rsid w:val="00503725"/>
    <w:rsid w:val="005645C9"/>
    <w:rsid w:val="005B3F01"/>
    <w:rsid w:val="005E55AB"/>
    <w:rsid w:val="005F604C"/>
    <w:rsid w:val="00621F1C"/>
    <w:rsid w:val="00651F3E"/>
    <w:rsid w:val="00654C98"/>
    <w:rsid w:val="006B1CEA"/>
    <w:rsid w:val="006B3BBC"/>
    <w:rsid w:val="006D18C2"/>
    <w:rsid w:val="00706A9A"/>
    <w:rsid w:val="00715BB6"/>
    <w:rsid w:val="00723E3E"/>
    <w:rsid w:val="00744356"/>
    <w:rsid w:val="00755858"/>
    <w:rsid w:val="007713B0"/>
    <w:rsid w:val="00777540"/>
    <w:rsid w:val="00780200"/>
    <w:rsid w:val="00780C2A"/>
    <w:rsid w:val="007914E9"/>
    <w:rsid w:val="007B0843"/>
    <w:rsid w:val="007B532F"/>
    <w:rsid w:val="007D4774"/>
    <w:rsid w:val="007D4D9F"/>
    <w:rsid w:val="007E1B83"/>
    <w:rsid w:val="00815DCC"/>
    <w:rsid w:val="00823AD6"/>
    <w:rsid w:val="00890092"/>
    <w:rsid w:val="008B0AAF"/>
    <w:rsid w:val="008F0672"/>
    <w:rsid w:val="00940BFC"/>
    <w:rsid w:val="00944FF2"/>
    <w:rsid w:val="00946161"/>
    <w:rsid w:val="00972BCC"/>
    <w:rsid w:val="009A5D32"/>
    <w:rsid w:val="009B5B82"/>
    <w:rsid w:val="00A53145"/>
    <w:rsid w:val="00A54AE8"/>
    <w:rsid w:val="00AA7201"/>
    <w:rsid w:val="00AB3E25"/>
    <w:rsid w:val="00AB6B58"/>
    <w:rsid w:val="00AF0E68"/>
    <w:rsid w:val="00B13D28"/>
    <w:rsid w:val="00B45B49"/>
    <w:rsid w:val="00B65537"/>
    <w:rsid w:val="00B6642C"/>
    <w:rsid w:val="00B71600"/>
    <w:rsid w:val="00B736FC"/>
    <w:rsid w:val="00B8219D"/>
    <w:rsid w:val="00BB61BC"/>
    <w:rsid w:val="00C028D1"/>
    <w:rsid w:val="00C03772"/>
    <w:rsid w:val="00C21829"/>
    <w:rsid w:val="00C34611"/>
    <w:rsid w:val="00C45920"/>
    <w:rsid w:val="00C56E3E"/>
    <w:rsid w:val="00C64AEB"/>
    <w:rsid w:val="00C737F7"/>
    <w:rsid w:val="00C77686"/>
    <w:rsid w:val="00C80CDB"/>
    <w:rsid w:val="00C92A46"/>
    <w:rsid w:val="00CF196F"/>
    <w:rsid w:val="00CF3954"/>
    <w:rsid w:val="00D71395"/>
    <w:rsid w:val="00D72B8A"/>
    <w:rsid w:val="00DB1C4D"/>
    <w:rsid w:val="00DB2583"/>
    <w:rsid w:val="00DB47EB"/>
    <w:rsid w:val="00DC2787"/>
    <w:rsid w:val="00DE778B"/>
    <w:rsid w:val="00DF24FF"/>
    <w:rsid w:val="00E10C5A"/>
    <w:rsid w:val="00E22D8E"/>
    <w:rsid w:val="00E27925"/>
    <w:rsid w:val="00E3696C"/>
    <w:rsid w:val="00E56D28"/>
    <w:rsid w:val="00EB0B19"/>
    <w:rsid w:val="00EC0DC0"/>
    <w:rsid w:val="00ED6086"/>
    <w:rsid w:val="00EE0DA4"/>
    <w:rsid w:val="00F338A6"/>
    <w:rsid w:val="00F35408"/>
    <w:rsid w:val="00F373E8"/>
    <w:rsid w:val="00F7728F"/>
    <w:rsid w:val="00FC1445"/>
    <w:rsid w:val="00FC69F6"/>
    <w:rsid w:val="00FF3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D92AE"/>
  <w15:docId w15:val="{9D5D8B96-1A8B-4788-85F3-B9A4AFDF7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ahoma" w:hAnsi="Tahoma" w:cs="Tahoma"/>
        <w:sz w:val="22"/>
        <w:szCs w:val="22"/>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DF24FF"/>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paragraph" w:styleId="Textedebulles">
    <w:name w:val="Balloon Text"/>
    <w:basedOn w:val="Normal"/>
    <w:link w:val="TextedebullesCar"/>
    <w:uiPriority w:val="99"/>
    <w:semiHidden/>
    <w:unhideWhenUsed/>
    <w:rsid w:val="00046AF7"/>
    <w:rPr>
      <w:sz w:val="16"/>
      <w:szCs w:val="16"/>
    </w:rPr>
  </w:style>
  <w:style w:type="character" w:customStyle="1" w:styleId="TextedebullesCar">
    <w:name w:val="Texte de bulles Car"/>
    <w:basedOn w:val="Policepardfaut"/>
    <w:link w:val="Textedebulles"/>
    <w:uiPriority w:val="99"/>
    <w:semiHidden/>
    <w:rsid w:val="00046AF7"/>
    <w:rPr>
      <w:sz w:val="16"/>
      <w:szCs w:val="16"/>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9A5D32"/>
    <w:pPr>
      <w:ind w:left="720"/>
      <w:contextualSpacing/>
    </w:pPr>
  </w:style>
  <w:style w:type="character" w:styleId="Marquedecommentaire">
    <w:name w:val="annotation reference"/>
    <w:basedOn w:val="Policepardfaut"/>
    <w:uiPriority w:val="99"/>
    <w:semiHidden/>
    <w:unhideWhenUsed/>
    <w:rsid w:val="009A5D32"/>
    <w:rPr>
      <w:sz w:val="16"/>
      <w:szCs w:val="16"/>
    </w:rPr>
  </w:style>
  <w:style w:type="paragraph" w:styleId="Commentaire">
    <w:name w:val="annotation text"/>
    <w:basedOn w:val="Normal"/>
    <w:link w:val="CommentaireCar"/>
    <w:uiPriority w:val="99"/>
    <w:unhideWhenUsed/>
    <w:rsid w:val="009A5D32"/>
    <w:rPr>
      <w:sz w:val="20"/>
      <w:szCs w:val="20"/>
    </w:rPr>
  </w:style>
  <w:style w:type="character" w:customStyle="1" w:styleId="CommentaireCar">
    <w:name w:val="Commentaire Car"/>
    <w:basedOn w:val="Policepardfaut"/>
    <w:link w:val="Commentaire"/>
    <w:uiPriority w:val="99"/>
    <w:rsid w:val="009A5D32"/>
    <w:rPr>
      <w:sz w:val="20"/>
      <w:szCs w:val="20"/>
    </w:rPr>
  </w:style>
  <w:style w:type="paragraph" w:styleId="Objetducommentaire">
    <w:name w:val="annotation subject"/>
    <w:basedOn w:val="Commentaire"/>
    <w:next w:val="Commentaire"/>
    <w:link w:val="ObjetducommentaireCar"/>
    <w:uiPriority w:val="99"/>
    <w:semiHidden/>
    <w:unhideWhenUsed/>
    <w:rsid w:val="009A5D32"/>
    <w:rPr>
      <w:b/>
      <w:bCs/>
    </w:rPr>
  </w:style>
  <w:style w:type="character" w:customStyle="1" w:styleId="ObjetducommentaireCar">
    <w:name w:val="Objet du commentaire Car"/>
    <w:basedOn w:val="CommentaireCar"/>
    <w:link w:val="Objetducommentaire"/>
    <w:uiPriority w:val="99"/>
    <w:semiHidden/>
    <w:rsid w:val="009A5D32"/>
    <w:rPr>
      <w:b/>
      <w:bCs/>
      <w:sz w:val="20"/>
      <w:szCs w:val="20"/>
    </w:rPr>
  </w:style>
  <w:style w:type="table" w:styleId="Grilledutableau">
    <w:name w:val="Table Grid"/>
    <w:basedOn w:val="TableauNormal"/>
    <w:uiPriority w:val="39"/>
    <w:rsid w:val="00257C8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B71600"/>
  </w:style>
  <w:style w:type="paragraph" w:styleId="Rvision">
    <w:name w:val="Revision"/>
    <w:hidden/>
    <w:uiPriority w:val="99"/>
    <w:semiHidden/>
    <w:rsid w:val="003329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50402">
      <w:bodyDiv w:val="1"/>
      <w:marLeft w:val="0"/>
      <w:marRight w:val="0"/>
      <w:marTop w:val="0"/>
      <w:marBottom w:val="0"/>
      <w:divBdr>
        <w:top w:val="none" w:sz="0" w:space="0" w:color="auto"/>
        <w:left w:val="none" w:sz="0" w:space="0" w:color="auto"/>
        <w:bottom w:val="none" w:sz="0" w:space="0" w:color="auto"/>
        <w:right w:val="none" w:sz="0" w:space="0" w:color="auto"/>
      </w:divBdr>
    </w:div>
    <w:div w:id="6309375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3FB0B-C21D-432C-A48F-2F3717E96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851</Words>
  <Characters>4682</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CCIR</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quanbouli lydie</dc:creator>
  <cp:lastModifiedBy>Voignier Vincent (M.)</cp:lastModifiedBy>
  <cp:revision>4</cp:revision>
  <cp:lastPrinted>2025-07-11T10:23:00Z</cp:lastPrinted>
  <dcterms:created xsi:type="dcterms:W3CDTF">2025-07-10T16:25:00Z</dcterms:created>
  <dcterms:modified xsi:type="dcterms:W3CDTF">2025-07-11T10:23:00Z</dcterms:modified>
</cp:coreProperties>
</file>